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34F57" w:rsidRPr="001A54CB" w:rsidTr="009131C8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F57" w:rsidRPr="00A75F74" w:rsidRDefault="00934F57" w:rsidP="009131C8">
            <w:pPr>
              <w:spacing w:after="80" w:line="340" w:lineRule="exact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F57" w:rsidRPr="00A75F74" w:rsidRDefault="00934F57" w:rsidP="009131C8">
            <w:pPr>
              <w:spacing w:after="80" w:line="340" w:lineRule="exact"/>
              <w:rPr>
                <w:sz w:val="28"/>
                <w:szCs w:val="28"/>
              </w:rPr>
            </w:pPr>
            <w:r w:rsidRPr="00A75F74">
              <w:rPr>
                <w:sz w:val="28"/>
                <w:szCs w:val="28"/>
              </w:rPr>
              <w:t>Ujedinjene nacije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F57" w:rsidRPr="001A54CB" w:rsidRDefault="00934F57" w:rsidP="009131C8">
            <w:pPr>
              <w:suppressAutoHyphens w:val="0"/>
              <w:spacing w:after="20"/>
              <w:jc w:val="right"/>
            </w:pPr>
            <w:r w:rsidRPr="001A54CB">
              <w:rPr>
                <w:sz w:val="40"/>
              </w:rPr>
              <w:t>CRC</w:t>
            </w:r>
            <w:r w:rsidRPr="001A54CB">
              <w:t>/C/GC/25</w:t>
            </w:r>
          </w:p>
        </w:tc>
      </w:tr>
      <w:tr w:rsidR="00934F57" w:rsidRPr="00A75F74" w:rsidTr="009131C8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34F57" w:rsidRPr="00A75F74" w:rsidRDefault="00934F57" w:rsidP="009131C8">
            <w:pPr>
              <w:spacing w:before="120"/>
              <w:jc w:val="center"/>
            </w:pPr>
            <w:r w:rsidRPr="00A75F74">
              <w:rPr>
                <w:noProof/>
                <w:lang w:val="en-US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75CC8" w:rsidRPr="00A75F74" w:rsidRDefault="00775CC8" w:rsidP="00775CC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75F74">
              <w:rPr>
                <w:b/>
                <w:sz w:val="40"/>
                <w:szCs w:val="40"/>
              </w:rPr>
              <w:t>Konvencija o</w:t>
            </w:r>
          </w:p>
          <w:p w:rsidR="00934F57" w:rsidRPr="00A75F74" w:rsidRDefault="00F25F69" w:rsidP="00775CC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75F74">
              <w:rPr>
                <w:b/>
                <w:sz w:val="40"/>
                <w:szCs w:val="40"/>
              </w:rPr>
              <w:t>p</w:t>
            </w:r>
            <w:r w:rsidR="00775CC8" w:rsidRPr="00A75F74">
              <w:rPr>
                <w:b/>
                <w:sz w:val="40"/>
                <w:szCs w:val="40"/>
              </w:rPr>
              <w:t>rav</w:t>
            </w:r>
            <w:r w:rsidRPr="00A75F74">
              <w:rPr>
                <w:b/>
                <w:sz w:val="40"/>
                <w:szCs w:val="40"/>
              </w:rPr>
              <w:t>im</w:t>
            </w:r>
            <w:r w:rsidR="00775CC8" w:rsidRPr="00A75F74">
              <w:rPr>
                <w:b/>
                <w:sz w:val="40"/>
                <w:szCs w:val="40"/>
              </w:rPr>
              <w:t>a deteta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34F57" w:rsidRPr="00A75F74" w:rsidRDefault="00934F57" w:rsidP="009131C8">
            <w:pPr>
              <w:spacing w:before="240"/>
            </w:pPr>
            <w:proofErr w:type="spellStart"/>
            <w:r w:rsidRPr="00A75F74">
              <w:t>Distr</w:t>
            </w:r>
            <w:proofErr w:type="spellEnd"/>
            <w:r w:rsidRPr="00A75F74">
              <w:t xml:space="preserve">.: </w:t>
            </w:r>
            <w:proofErr w:type="spellStart"/>
            <w:r w:rsidR="00F25F69" w:rsidRPr="00A75F74">
              <w:t>Opšts</w:t>
            </w:r>
            <w:proofErr w:type="spellEnd"/>
          </w:p>
          <w:p w:rsidR="00934F57" w:rsidRPr="00A75F74" w:rsidRDefault="005A5CFB" w:rsidP="009131C8">
            <w:pPr>
              <w:suppressAutoHyphens w:val="0"/>
            </w:pPr>
            <w:r w:rsidRPr="00A75F74">
              <w:t>2. mart</w:t>
            </w:r>
            <w:r w:rsidR="00934F57" w:rsidRPr="00A75F74">
              <w:t xml:space="preserve"> 20</w:t>
            </w:r>
            <w:r w:rsidRPr="00A75F74">
              <w:t>2</w:t>
            </w:r>
            <w:r w:rsidR="00934F57" w:rsidRPr="00A75F74">
              <w:t>1</w:t>
            </w:r>
            <w:r w:rsidRPr="00A75F74">
              <w:t>.</w:t>
            </w:r>
          </w:p>
          <w:p w:rsidR="00934F57" w:rsidRPr="00A75F74" w:rsidRDefault="00934F57" w:rsidP="009131C8">
            <w:pPr>
              <w:suppressAutoHyphens w:val="0"/>
            </w:pPr>
          </w:p>
          <w:p w:rsidR="00934F57" w:rsidRPr="00A75F74" w:rsidRDefault="005A5CFB" w:rsidP="009131C8">
            <w:pPr>
              <w:suppressAutoHyphens w:val="0"/>
            </w:pPr>
            <w:r w:rsidRPr="00A75F74">
              <w:t>Original: engleski</w:t>
            </w:r>
          </w:p>
        </w:tc>
      </w:tr>
    </w:tbl>
    <w:p w:rsidR="00957011" w:rsidRPr="00A75F74" w:rsidRDefault="00A75F74" w:rsidP="00957011">
      <w:pPr>
        <w:pStyle w:val="HChG"/>
      </w:pPr>
      <w:r w:rsidRPr="00A75F74">
        <w:rPr>
          <w:sz w:val="24"/>
        </w:rPr>
        <w:t>Komitet</w:t>
      </w:r>
      <w:r w:rsidR="00F86A28" w:rsidRPr="00A75F74">
        <w:rPr>
          <w:sz w:val="24"/>
        </w:rPr>
        <w:t xml:space="preserve"> za prava deteta</w:t>
      </w:r>
      <w:r w:rsidR="00957011" w:rsidRPr="00A75F74">
        <w:tab/>
      </w:r>
      <w:r w:rsidR="00957011" w:rsidRPr="00A75F74">
        <w:tab/>
      </w:r>
    </w:p>
    <w:p w:rsidR="00957011" w:rsidRPr="00A75F74" w:rsidRDefault="00957011" w:rsidP="00957011">
      <w:pPr>
        <w:pStyle w:val="HChG"/>
      </w:pPr>
      <w:r w:rsidRPr="00A75F74">
        <w:tab/>
      </w:r>
      <w:r w:rsidRPr="00A75F74">
        <w:tab/>
      </w:r>
      <w:r w:rsidR="00013A7E" w:rsidRPr="00A75F74">
        <w:t>Opšti komentar br. 25 (2021) o pravima deteta u vezi sa digitalnim okruženjem</w:t>
      </w:r>
    </w:p>
    <w:p w:rsidR="00957011" w:rsidRPr="00A75F74" w:rsidRDefault="00957011" w:rsidP="00957011">
      <w:pPr>
        <w:pStyle w:val="HChG"/>
      </w:pPr>
      <w:r w:rsidRPr="00A75F74">
        <w:tab/>
        <w:t>I.</w:t>
      </w:r>
      <w:r w:rsidRPr="00A75F74">
        <w:tab/>
      </w:r>
      <w:r w:rsidR="00013A7E" w:rsidRPr="00A75F74">
        <w:t>Uvod</w:t>
      </w:r>
    </w:p>
    <w:p w:rsidR="00B23F20" w:rsidRPr="00A75F74" w:rsidRDefault="00957011" w:rsidP="00013A7E">
      <w:pPr>
        <w:pStyle w:val="SingleTxtG"/>
      </w:pPr>
      <w:r w:rsidRPr="00A75F74">
        <w:t>1.</w:t>
      </w:r>
      <w:r w:rsidRPr="00A75F74">
        <w:tab/>
      </w:r>
      <w:r w:rsidR="00013A7E" w:rsidRPr="00A75F74">
        <w:t>Deca koja su konsultova</w:t>
      </w:r>
      <w:r w:rsidR="00F25F69" w:rsidRPr="00A75F74">
        <w:t>n</w:t>
      </w:r>
      <w:r w:rsidR="00013A7E" w:rsidRPr="00A75F74">
        <w:t xml:space="preserve">a za ovaj opšti komentar </w:t>
      </w:r>
      <w:r w:rsidR="00F25F69" w:rsidRPr="00A75F74">
        <w:t>izjavila</w:t>
      </w:r>
      <w:r w:rsidR="00013A7E" w:rsidRPr="00A75F74">
        <w:t xml:space="preserve"> su da su digitalne tehnologije vitalne za njihov sadašnji život i </w:t>
      </w:r>
      <w:r w:rsidR="00A75F74" w:rsidRPr="00A75F74">
        <w:t>budućnost</w:t>
      </w:r>
      <w:r w:rsidR="00013A7E" w:rsidRPr="00A75F74">
        <w:t>: „</w:t>
      </w:r>
      <w:r w:rsidR="00A75F74" w:rsidRPr="00A75F74">
        <w:t>Pomoću</w:t>
      </w:r>
      <w:r w:rsidR="00013A7E" w:rsidRPr="00A75F74">
        <w:t xml:space="preserve"> digitalne tehnologije možemo dobiti informacije iz celog sveta“; „[Digitalna tehnologija] me </w:t>
      </w:r>
      <w:r w:rsidR="00F25F69" w:rsidRPr="00A75F74">
        <w:t xml:space="preserve">je </w:t>
      </w:r>
      <w:r w:rsidR="00013A7E" w:rsidRPr="00A75F74">
        <w:t xml:space="preserve">upoznala sa glavnim aspektima </w:t>
      </w:r>
      <w:r w:rsidR="00F25F69" w:rsidRPr="00A75F74">
        <w:t xml:space="preserve">toga </w:t>
      </w:r>
      <w:r w:rsidR="00013A7E" w:rsidRPr="00A75F74">
        <w:t>kako se</w:t>
      </w:r>
      <w:r w:rsidR="00F25F69" w:rsidRPr="00A75F74">
        <w:t>be</w:t>
      </w:r>
      <w:r w:rsidR="00013A7E" w:rsidRPr="00A75F74">
        <w:t xml:space="preserve"> identifikujem“; „Kad ste tužni, </w:t>
      </w:r>
      <w:r w:rsidR="00F25F69" w:rsidRPr="00A75F74">
        <w:t>in</w:t>
      </w:r>
      <w:r w:rsidR="00013A7E" w:rsidRPr="00A75F74">
        <w:t xml:space="preserve">ternet vam može </w:t>
      </w:r>
      <w:r w:rsidR="00A75F74" w:rsidRPr="00A75F74">
        <w:t>pomoći</w:t>
      </w:r>
      <w:r w:rsidR="00F25F69" w:rsidRPr="00A75F74">
        <w:t>[</w:t>
      </w:r>
      <w:r w:rsidR="00013A7E" w:rsidRPr="00A75F74">
        <w:t>da</w:t>
      </w:r>
      <w:r w:rsidR="00F25F69" w:rsidRPr="00A75F74">
        <w:t>]</w:t>
      </w:r>
      <w:r w:rsidR="00013A7E" w:rsidRPr="00A75F74">
        <w:t xml:space="preserve"> vidite nešto što vam donosi radost“.</w:t>
      </w:r>
      <w:r w:rsidR="00F25F69" w:rsidRPr="00A75F74">
        <w:rPr>
          <w:rStyle w:val="FootnoteReference"/>
        </w:rPr>
        <w:footnoteReference w:id="1"/>
      </w:r>
    </w:p>
    <w:p w:rsidR="0085547E" w:rsidRPr="00A75F74" w:rsidRDefault="0085547E" w:rsidP="00013A7E">
      <w:pPr>
        <w:pStyle w:val="SingleTxtG"/>
      </w:pPr>
      <w:r w:rsidRPr="00A75F74">
        <w:t>2.</w:t>
      </w:r>
      <w:r w:rsidRPr="00A75F74">
        <w:tab/>
        <w:t xml:space="preserve">Digitalno okruženje se neprestano razvija i širi, </w:t>
      </w:r>
      <w:r w:rsidR="00A75F74" w:rsidRPr="00A75F74">
        <w:t>obuhvatajući</w:t>
      </w:r>
      <w:r w:rsidRPr="00A75F74">
        <w:t xml:space="preserve"> informacione i komunikacione tehnologije, </w:t>
      </w:r>
      <w:r w:rsidR="00A75F74" w:rsidRPr="00A75F74">
        <w:t>uključujući</w:t>
      </w:r>
      <w:r w:rsidRPr="00A75F74">
        <w:t xml:space="preserve"> digitalne mreže, sadržaj, usluge i aplikacije, povezane uređaje i okruženja, virtuelnu i proširenu stvarnost, veštačku inteligenciju, </w:t>
      </w:r>
      <w:proofErr w:type="spellStart"/>
      <w:r w:rsidRPr="00A75F74">
        <w:t>robotiku</w:t>
      </w:r>
      <w:proofErr w:type="spellEnd"/>
      <w:r w:rsidRPr="00A75F74">
        <w:t xml:space="preserve">, automatizovane sisteme, algoritme i analitiku podataka, </w:t>
      </w:r>
      <w:proofErr w:type="spellStart"/>
      <w:r w:rsidRPr="00A75F74">
        <w:t>biometriju</w:t>
      </w:r>
      <w:proofErr w:type="spellEnd"/>
      <w:r w:rsidRPr="00A75F74">
        <w:t xml:space="preserve"> i </w:t>
      </w:r>
      <w:proofErr w:type="spellStart"/>
      <w:r w:rsidRPr="00A75F74">
        <w:t>tehnologij</w:t>
      </w:r>
      <w:r w:rsidR="001E610B" w:rsidRPr="00A75F74">
        <w:t>u</w:t>
      </w:r>
      <w:r w:rsidRPr="00A75F74">
        <w:t>implanta</w:t>
      </w:r>
      <w:proofErr w:type="spellEnd"/>
      <w:r w:rsidRPr="00A75F74">
        <w:t>.</w:t>
      </w:r>
      <w:r w:rsidR="001E610B" w:rsidRPr="00A75F74">
        <w:rPr>
          <w:rStyle w:val="FootnoteReference"/>
        </w:rPr>
        <w:footnoteReference w:id="2"/>
      </w:r>
    </w:p>
    <w:p w:rsidR="00987FB0" w:rsidRPr="00A75F74" w:rsidRDefault="00987FB0" w:rsidP="00987FB0">
      <w:pPr>
        <w:pStyle w:val="SingleTxtG"/>
      </w:pPr>
      <w:r w:rsidRPr="00A75F74">
        <w:t>3.</w:t>
      </w:r>
      <w:r w:rsidRPr="00A75F74">
        <w:tab/>
        <w:t xml:space="preserve">Digitalno okruženje postaje sve važnije u </w:t>
      </w:r>
      <w:r w:rsidR="00A75F74" w:rsidRPr="00A75F74">
        <w:t>većini</w:t>
      </w:r>
      <w:r w:rsidRPr="00A75F74">
        <w:t xml:space="preserve"> aspekata života</w:t>
      </w:r>
      <w:r w:rsidR="001E610B" w:rsidRPr="00A75F74">
        <w:t xml:space="preserve"> deteta</w:t>
      </w:r>
      <w:r w:rsidRPr="00A75F74">
        <w:t xml:space="preserve">, </w:t>
      </w:r>
      <w:r w:rsidR="00A75F74" w:rsidRPr="00A75F74">
        <w:t>uključujući</w:t>
      </w:r>
      <w:r w:rsidRPr="00A75F74">
        <w:t xml:space="preserve"> i </w:t>
      </w:r>
      <w:r w:rsidR="001E610B" w:rsidRPr="00A75F74">
        <w:t>u</w:t>
      </w:r>
      <w:r w:rsidRPr="00A75F74">
        <w:t xml:space="preserve"> vreme</w:t>
      </w:r>
      <w:r w:rsidR="001E610B" w:rsidRPr="00A75F74">
        <w:t>nima</w:t>
      </w:r>
      <w:r w:rsidRPr="00A75F74">
        <w:t xml:space="preserve"> krize, jer se društvene funkcije, </w:t>
      </w:r>
      <w:r w:rsidR="00A75F74" w:rsidRPr="00A75F74">
        <w:t>uključujući</w:t>
      </w:r>
      <w:r w:rsidRPr="00A75F74">
        <w:t xml:space="preserve"> obrazovanje, vladine usluge i trgovinu, sve više oslanjaju na digitalne tehnologije. </w:t>
      </w:r>
      <w:r w:rsidR="001E610B" w:rsidRPr="00A75F74">
        <w:t>Ono p</w:t>
      </w:r>
      <w:r w:rsidRPr="00A75F74">
        <w:t xml:space="preserve">ruža nove </w:t>
      </w:r>
      <w:r w:rsidR="00A75F74" w:rsidRPr="00A75F74">
        <w:t>mogućnosti</w:t>
      </w:r>
      <w:r w:rsidRPr="00A75F74">
        <w:t xml:space="preserve"> za ostvarivanje prava</w:t>
      </w:r>
      <w:r w:rsidR="001E610B" w:rsidRPr="00A75F74">
        <w:t xml:space="preserve"> deteta</w:t>
      </w:r>
      <w:r w:rsidRPr="00A75F74">
        <w:t>, ali takođe predstavlja i rizik od njihovog kršenja ili zlo</w:t>
      </w:r>
      <w:r w:rsidR="001E610B" w:rsidRPr="00A75F74">
        <w:t>upotrebe</w:t>
      </w:r>
      <w:r w:rsidRPr="00A75F74">
        <w:t>. Tokom konsultacija, deca su izrazila mišljenje da digitalno okruženje treba da podržava, promoviše i štiti sigur</w:t>
      </w:r>
      <w:r w:rsidR="001E610B" w:rsidRPr="00A75F74">
        <w:t>nost</w:t>
      </w:r>
      <w:r w:rsidRPr="00A75F74">
        <w:t xml:space="preserve"> i </w:t>
      </w:r>
      <w:proofErr w:type="spellStart"/>
      <w:r w:rsidR="00A75F74" w:rsidRPr="00A75F74">
        <w:t>nepristrasnost</w:t>
      </w:r>
      <w:r w:rsidR="001E610B" w:rsidRPr="00A75F74">
        <w:t>njihovog</w:t>
      </w:r>
      <w:r w:rsidRPr="00A75F74">
        <w:t>angaž</w:t>
      </w:r>
      <w:r w:rsidR="001E610B" w:rsidRPr="00A75F74">
        <w:t>ovanja</w:t>
      </w:r>
      <w:proofErr w:type="spellEnd"/>
      <w:r w:rsidRPr="00A75F74">
        <w:t>: „Želeli bismo da nam vlada, tehnološke kompanije i nastavnici pomažu [u] upravljanju nepouzdanim informacijama na mreži.“; „Žele</w:t>
      </w:r>
      <w:r w:rsidR="001E610B" w:rsidRPr="00A75F74">
        <w:t>la</w:t>
      </w:r>
      <w:r w:rsidRPr="00A75F74">
        <w:t xml:space="preserve"> bih da razjasnim šta se zaista događa sa mojim podacim</w:t>
      </w:r>
      <w:r w:rsidR="00A75F74" w:rsidRPr="00A75F74">
        <w:t>a</w:t>
      </w:r>
      <w:r w:rsidRPr="00A75F74">
        <w:t xml:space="preserve">... Zašto ih prikupljati? Kako se </w:t>
      </w:r>
      <w:r w:rsidR="001E610B" w:rsidRPr="00A75F74">
        <w:t>priku</w:t>
      </w:r>
      <w:r w:rsidR="00A75F74">
        <w:t>p</w:t>
      </w:r>
      <w:r w:rsidR="001E610B" w:rsidRPr="00A75F74">
        <w:t>ljaju</w:t>
      </w:r>
      <w:r w:rsidRPr="00A75F74">
        <w:t>?“; „Zabrinuta sam zbog deljenja mojih podataka“.</w:t>
      </w:r>
      <w:r w:rsidR="00805039">
        <w:rPr>
          <w:rStyle w:val="FootnoteReference"/>
        </w:rPr>
        <w:footnoteReference w:id="3"/>
      </w:r>
    </w:p>
    <w:p w:rsidR="00AD1D1F" w:rsidRPr="00A75F74" w:rsidDel="00F326C8" w:rsidRDefault="00FA7971" w:rsidP="00A75F74">
      <w:pPr>
        <w:pStyle w:val="SingleTxtG"/>
      </w:pPr>
      <w:r w:rsidRPr="00A75F74" w:rsidDel="00F326C8">
        <w:t>4.</w:t>
      </w:r>
      <w:r w:rsidRPr="00A75F74" w:rsidDel="00F326C8">
        <w:tab/>
      </w:r>
      <w:r w:rsidRPr="00A75F74">
        <w:t xml:space="preserve">Prava svakog deteta moraju se poštovati, štititi i </w:t>
      </w:r>
      <w:r w:rsidR="001E610B" w:rsidRPr="00A75F74">
        <w:t>ostvarivati</w:t>
      </w:r>
      <w:r w:rsidRPr="00A75F74">
        <w:t xml:space="preserve"> u digitalnom okruženju. Inovacije u digitalnim tehnologijama utiču na život </w:t>
      </w:r>
      <w:proofErr w:type="spellStart"/>
      <w:r w:rsidR="00A75F74" w:rsidRPr="00A75F74">
        <w:t>dece</w:t>
      </w:r>
      <w:r w:rsidRPr="00A75F74">
        <w:t>i</w:t>
      </w:r>
      <w:proofErr w:type="spellEnd"/>
      <w:r w:rsidRPr="00A75F74">
        <w:t xml:space="preserve"> </w:t>
      </w:r>
      <w:r w:rsidR="00A75F74" w:rsidRPr="00A75F74">
        <w:t>njihova</w:t>
      </w:r>
      <w:r w:rsidRPr="00A75F74">
        <w:t xml:space="preserve"> prava na načine koji su </w:t>
      </w:r>
      <w:r w:rsidR="001E610B" w:rsidRPr="00A75F74">
        <w:t>raznoliki</w:t>
      </w:r>
      <w:r w:rsidRPr="00A75F74">
        <w:t xml:space="preserve"> i međusobno zavisni, čak i tamo gde deca sama ne pristupaju </w:t>
      </w:r>
      <w:r w:rsidR="00A75F74" w:rsidRPr="00A75F74">
        <w:lastRenderedPageBreak/>
        <w:t>i</w:t>
      </w:r>
      <w:r w:rsidRPr="00A75F74">
        <w:t xml:space="preserve">nternetu. Smislen pristup digitalnim tehnologijama može deci </w:t>
      </w:r>
      <w:r w:rsidR="00A75F74" w:rsidRPr="00A75F74">
        <w:t>pomoći</w:t>
      </w:r>
      <w:r w:rsidRPr="00A75F74">
        <w:t xml:space="preserve"> da ostvare čitav niz svojih građanskih, političkih, kulturnih, ekonomskih i socijalnih prava. Međutim, ako se </w:t>
      </w:r>
      <w:r w:rsidR="00A75F74" w:rsidRPr="00A75F74">
        <w:t xml:space="preserve">ne dostigne </w:t>
      </w:r>
      <w:r w:rsidRPr="00A75F74">
        <w:t xml:space="preserve">digitalna inkluzija, </w:t>
      </w:r>
      <w:r w:rsidR="00AB59DD" w:rsidRPr="00A75F74">
        <w:t>postojeće</w:t>
      </w:r>
      <w:r w:rsidRPr="00A75F74">
        <w:t xml:space="preserve"> nejednakosti </w:t>
      </w:r>
      <w:proofErr w:type="spellStart"/>
      <w:r w:rsidRPr="00A75F74">
        <w:t>će</w:t>
      </w:r>
      <w:proofErr w:type="spellEnd"/>
      <w:r w:rsidRPr="00A75F74">
        <w:t xml:space="preserve"> se verovatno </w:t>
      </w:r>
      <w:r w:rsidR="00AB59DD" w:rsidRPr="00A75F74">
        <w:t>povećati</w:t>
      </w:r>
      <w:r w:rsidRPr="00A75F74">
        <w:t>, a mogu se pojaviti i nove.</w:t>
      </w:r>
    </w:p>
    <w:p w:rsidR="00987FB0" w:rsidRPr="00A75F74" w:rsidRDefault="00AD1D1F" w:rsidP="00013A7E">
      <w:pPr>
        <w:pStyle w:val="SingleTxtG"/>
      </w:pPr>
      <w:r w:rsidRPr="00A75F74">
        <w:t>5.</w:t>
      </w:r>
      <w:r w:rsidRPr="00A75F74">
        <w:tab/>
      </w:r>
      <w:r w:rsidR="002C2A20" w:rsidRPr="00A75F74">
        <w:t>Ovaj opšti komentar temelji se na iskustvu Komiteta u pregled</w:t>
      </w:r>
      <w:r w:rsidR="00805039">
        <w:t>anju</w:t>
      </w:r>
      <w:r w:rsidR="002C2A20" w:rsidRPr="00A75F74">
        <w:t xml:space="preserve"> izveštaja država </w:t>
      </w:r>
      <w:proofErr w:type="spellStart"/>
      <w:r w:rsidR="002C2A20" w:rsidRPr="00A75F74">
        <w:t>ugovornica</w:t>
      </w:r>
      <w:proofErr w:type="spellEnd"/>
      <w:r w:rsidR="002C2A20" w:rsidRPr="00A75F74">
        <w:t xml:space="preserve">, danu opšte rasprave o digitalnim medijima i pravima deteta, </w:t>
      </w:r>
      <w:r w:rsidR="00805039">
        <w:t>pravnoj</w:t>
      </w:r>
      <w:r w:rsidR="002C2A20" w:rsidRPr="00A75F74">
        <w:t xml:space="preserve"> praksi tela </w:t>
      </w:r>
      <w:r w:rsidR="00805039">
        <w:t xml:space="preserve">zaduženih </w:t>
      </w:r>
      <w:r w:rsidR="002C2A20" w:rsidRPr="00A75F74">
        <w:t xml:space="preserve">za ljudska prava, preporukama Saveta za ljudska prava i posebnim procedurama Saveta, dve runde konsultacija sa državama, stručnjacima i drugim zainteresovanim stranama o konceptu i </w:t>
      </w:r>
      <w:r w:rsidR="00805039">
        <w:t>u</w:t>
      </w:r>
      <w:r w:rsidR="002C2A20" w:rsidRPr="00A75F74">
        <w:t>napre</w:t>
      </w:r>
      <w:r w:rsidR="00805039">
        <w:t>đe</w:t>
      </w:r>
      <w:r w:rsidR="002C2A20" w:rsidRPr="00A75F74">
        <w:t>nom nacrtu</w:t>
      </w:r>
      <w:r w:rsidR="00AB59DD">
        <w:t>, kao</w:t>
      </w:r>
      <w:r w:rsidR="002C2A20" w:rsidRPr="00A75F74">
        <w:t xml:space="preserve"> i međunarodn</w:t>
      </w:r>
      <w:r w:rsidR="00AB59DD">
        <w:t>im</w:t>
      </w:r>
      <w:r w:rsidR="002C2A20" w:rsidRPr="00A75F74">
        <w:t xml:space="preserve"> konsultacij</w:t>
      </w:r>
      <w:r w:rsidR="00AB59DD">
        <w:t>ama</w:t>
      </w:r>
      <w:r w:rsidR="002C2A20" w:rsidRPr="00A75F74">
        <w:t xml:space="preserve"> sa 709 de</w:t>
      </w:r>
      <w:r w:rsidR="00805039">
        <w:t>teta</w:t>
      </w:r>
      <w:r w:rsidR="002C2A20" w:rsidRPr="00A75F74">
        <w:t xml:space="preserve"> koja žive u najrazličitijim okolnostima u 28 zemalja</w:t>
      </w:r>
      <w:r w:rsidR="00805039">
        <w:t>,</w:t>
      </w:r>
      <w:r w:rsidR="002C2A20" w:rsidRPr="00A75F74">
        <w:t xml:space="preserve"> u nekoliko regiona.</w:t>
      </w:r>
    </w:p>
    <w:p w:rsidR="002C2A20" w:rsidRPr="00A75F74" w:rsidRDefault="002C2A20" w:rsidP="002C2A20">
      <w:pPr>
        <w:pStyle w:val="SingleTxtG"/>
      </w:pPr>
      <w:r w:rsidRPr="00A75F74">
        <w:t>6.</w:t>
      </w:r>
      <w:r w:rsidRPr="00A75F74">
        <w:tab/>
        <w:t xml:space="preserve">Ovaj opšti komentar treba čitati zajedno sa drugim relevantnim opštim komentarima Komiteta i njegovim smernicama u vezi sa sprovođenjem </w:t>
      </w:r>
      <w:r w:rsidR="00805039">
        <w:t>Opcionog</w:t>
      </w:r>
      <w:r w:rsidRPr="00A75F74">
        <w:t xml:space="preserve"> protokola uz Konvenciju o prodaji dece, dečjoj prostituciji i dečjoj pornografiji.</w:t>
      </w:r>
    </w:p>
    <w:p w:rsidR="00FB6F33" w:rsidRPr="00A75F74" w:rsidRDefault="00FB6F33" w:rsidP="00FB6F33">
      <w:pPr>
        <w:pStyle w:val="HChG"/>
      </w:pPr>
      <w:r w:rsidRPr="00A75F74">
        <w:tab/>
        <w:t>II.</w:t>
      </w:r>
      <w:r w:rsidRPr="00A75F74">
        <w:tab/>
      </w:r>
      <w:r w:rsidR="00DF72E4" w:rsidRPr="00A75F74">
        <w:t>Cilj</w:t>
      </w:r>
    </w:p>
    <w:p w:rsidR="00FB6F33" w:rsidRPr="00A75F74" w:rsidRDefault="00FB6F33" w:rsidP="002C2A20">
      <w:pPr>
        <w:pStyle w:val="SingleTxtG"/>
      </w:pPr>
      <w:r w:rsidRPr="00A75F74">
        <w:t>7.</w:t>
      </w:r>
      <w:r w:rsidRPr="00A75F74">
        <w:tab/>
      </w:r>
      <w:r w:rsidR="00DF72E4" w:rsidRPr="00A75F74">
        <w:t>U ovom opštem kome</w:t>
      </w:r>
      <w:r w:rsidR="00D959CA" w:rsidRPr="00A75F74">
        <w:t>ntaru, Komitet objašnjava kako D</w:t>
      </w:r>
      <w:r w:rsidR="00DF72E4" w:rsidRPr="00A75F74">
        <w:t xml:space="preserve">ržave </w:t>
      </w:r>
      <w:proofErr w:type="spellStart"/>
      <w:r w:rsidR="00D959CA" w:rsidRPr="00A75F74">
        <w:t>ugovornice</w:t>
      </w:r>
      <w:proofErr w:type="spellEnd"/>
      <w:r w:rsidR="00D959CA" w:rsidRPr="00A75F74">
        <w:t xml:space="preserve"> </w:t>
      </w:r>
      <w:r w:rsidR="00DF72E4" w:rsidRPr="00A75F74">
        <w:t>treba da primene Konvenciju u odnosu na digitalno okruženje i daje smernice o relevantnim zakonodavnim, političkim i drugim merama</w:t>
      </w:r>
      <w:r w:rsidR="00FC173B">
        <w:t>,</w:t>
      </w:r>
      <w:r w:rsidR="00DF72E4" w:rsidRPr="00A75F74">
        <w:t xml:space="preserve"> kako bi obezbedil</w:t>
      </w:r>
      <w:r w:rsidR="00FC173B">
        <w:t>e</w:t>
      </w:r>
      <w:r w:rsidR="00DF72E4" w:rsidRPr="00A75F74">
        <w:t xml:space="preserve"> potpuno poštovanje </w:t>
      </w:r>
      <w:r w:rsidR="00FC173B">
        <w:t>svojih</w:t>
      </w:r>
      <w:r w:rsidR="00DF72E4" w:rsidRPr="00A75F74">
        <w:t xml:space="preserve"> obaveza prema Konvenciji i </w:t>
      </w:r>
      <w:r w:rsidR="00FC173B">
        <w:t>opcionim</w:t>
      </w:r>
      <w:r w:rsidR="00DF72E4" w:rsidRPr="00A75F74">
        <w:t xml:space="preserve"> protokolima uz nju u </w:t>
      </w:r>
      <w:proofErr w:type="spellStart"/>
      <w:r w:rsidR="00FC173B">
        <w:t>smislu</w:t>
      </w:r>
      <w:r w:rsidR="00805039" w:rsidRPr="00A75F74">
        <w:t>mogućnosti</w:t>
      </w:r>
      <w:proofErr w:type="spellEnd"/>
      <w:r w:rsidR="00DF72E4" w:rsidRPr="00A75F74">
        <w:t>, rizika i izazova u promo</w:t>
      </w:r>
      <w:r w:rsidR="00FC173B">
        <w:t>visanju</w:t>
      </w:r>
      <w:r w:rsidR="00DF72E4" w:rsidRPr="00A75F74">
        <w:t xml:space="preserve">, poštovanju, zaštiti i </w:t>
      </w:r>
      <w:r w:rsidR="00FC173B">
        <w:t>ostvarivanju</w:t>
      </w:r>
      <w:r w:rsidR="00DF72E4" w:rsidRPr="00A75F74">
        <w:t xml:space="preserve"> svih prava </w:t>
      </w:r>
      <w:r w:rsidR="00FC173B">
        <w:t xml:space="preserve">deteta </w:t>
      </w:r>
      <w:r w:rsidR="00DF72E4" w:rsidRPr="00A75F74">
        <w:t>u digitalnom okruž</w:t>
      </w:r>
      <w:r w:rsidR="00FC173B">
        <w:t>enju.</w:t>
      </w:r>
    </w:p>
    <w:p w:rsidR="00CB1CFA" w:rsidRPr="00A75F74" w:rsidRDefault="00CB1CFA" w:rsidP="00CB1CFA">
      <w:pPr>
        <w:pStyle w:val="HChG"/>
      </w:pPr>
      <w:bookmarkStart w:id="1" w:name="_Toc47967788"/>
      <w:r w:rsidRPr="00A75F74">
        <w:tab/>
        <w:t>III.</w:t>
      </w:r>
      <w:r w:rsidRPr="00A75F74">
        <w:tab/>
      </w:r>
      <w:bookmarkEnd w:id="1"/>
      <w:r w:rsidRPr="00A75F74">
        <w:t>Opšti principi</w:t>
      </w:r>
    </w:p>
    <w:p w:rsidR="00CB1CFA" w:rsidRPr="00A75F74" w:rsidRDefault="00CB1CFA" w:rsidP="002C2A20">
      <w:pPr>
        <w:pStyle w:val="SingleTxtG"/>
      </w:pPr>
      <w:r w:rsidRPr="00A75F74">
        <w:t>8.</w:t>
      </w:r>
      <w:r w:rsidRPr="00A75F74">
        <w:tab/>
      </w:r>
      <w:r w:rsidR="00805039" w:rsidRPr="00A75F74">
        <w:t>Sledeća</w:t>
      </w:r>
      <w:r w:rsidRPr="00A75F74">
        <w:t xml:space="preserve"> četiri principa pružaju </w:t>
      </w:r>
      <w:r w:rsidR="00FC173B">
        <w:t>okvir u kom</w:t>
      </w:r>
      <w:r w:rsidRPr="00A75F74">
        <w:t>e treba posmatrati sprovođenje svih ostalih prava iz Konvencije. Oni bi trebalo da posluže kao vodi</w:t>
      </w:r>
      <w:r w:rsidR="00FC173B">
        <w:t>lja</w:t>
      </w:r>
      <w:r w:rsidRPr="00A75F74">
        <w:t xml:space="preserve"> za određivanje mera potrebnih za garantovanje ostvarivanja prava </w:t>
      </w:r>
      <w:r w:rsidR="00FC173B">
        <w:t xml:space="preserve">deteta </w:t>
      </w:r>
      <w:r w:rsidRPr="00A75F74">
        <w:t>u odnosu na digitalno okruženje.</w:t>
      </w:r>
    </w:p>
    <w:p w:rsidR="00C14880" w:rsidRPr="00A75F74" w:rsidRDefault="00C14880" w:rsidP="00C14880">
      <w:pPr>
        <w:pStyle w:val="H1G"/>
      </w:pPr>
      <w:r w:rsidRPr="00A75F74">
        <w:tab/>
        <w:t>A.</w:t>
      </w:r>
      <w:r w:rsidRPr="00A75F74">
        <w:tab/>
      </w:r>
      <w:r w:rsidR="00FC173B">
        <w:t>Ne</w:t>
      </w:r>
      <w:r w:rsidRPr="00A75F74">
        <w:t>dis</w:t>
      </w:r>
      <w:r w:rsidR="00FC173B">
        <w:t>k</w:t>
      </w:r>
      <w:r w:rsidRPr="00A75F74">
        <w:t>rimina</w:t>
      </w:r>
      <w:r w:rsidR="00FC173B">
        <w:t>c</w:t>
      </w:r>
      <w:r w:rsidRPr="00A75F74">
        <w:t>i</w:t>
      </w:r>
      <w:r w:rsidR="00FC173B">
        <w:t>ja</w:t>
      </w:r>
    </w:p>
    <w:p w:rsidR="00C14880" w:rsidRPr="00A75F74" w:rsidRDefault="00C14880" w:rsidP="002C2A20">
      <w:pPr>
        <w:pStyle w:val="SingleTxtG"/>
      </w:pPr>
      <w:r w:rsidRPr="00A75F74">
        <w:t>9.</w:t>
      </w:r>
      <w:r w:rsidRPr="00A75F74">
        <w:tab/>
      </w:r>
      <w:r w:rsidR="002C56CC" w:rsidRPr="00A75F74">
        <w:t xml:space="preserve">Pravo na nediskriminaciju zahteva da države članice osiguraju da sva deca imaju jednak i efikasan pristup digitalnom okruženju na </w:t>
      </w:r>
      <w:r w:rsidR="00FC173B">
        <w:t xml:space="preserve">smisaone </w:t>
      </w:r>
      <w:r w:rsidR="002C56CC" w:rsidRPr="00A75F74">
        <w:t>načine.</w:t>
      </w:r>
      <w:r w:rsidR="00FC173B">
        <w:rPr>
          <w:rStyle w:val="FootnoteReference"/>
        </w:rPr>
        <w:footnoteReference w:id="4"/>
      </w:r>
      <w:r w:rsidR="002C56CC" w:rsidRPr="00A75F74">
        <w:t xml:space="preserve"> Države </w:t>
      </w:r>
      <w:proofErr w:type="spellStart"/>
      <w:r w:rsidR="00C0015B" w:rsidRPr="00A75F74">
        <w:t>ugovornice</w:t>
      </w:r>
      <w:proofErr w:type="spellEnd"/>
      <w:r w:rsidR="00C0015B" w:rsidRPr="00A75F74">
        <w:t xml:space="preserve"> </w:t>
      </w:r>
      <w:r w:rsidR="002C56CC" w:rsidRPr="00A75F74">
        <w:t xml:space="preserve">treba da preduzmu sve mere neophodne za prevazilaženje digitalne isključenosti. To </w:t>
      </w:r>
      <w:r w:rsidR="00FC173B">
        <w:t>obuhvata</w:t>
      </w:r>
      <w:r w:rsidR="002C56CC" w:rsidRPr="00A75F74">
        <w:t xml:space="preserve"> pružanje besplatnog i bezbednog pristupa deci na namenskim javnim lokacijama i ulaganje u politike i programe koji podržavaju pristup </w:t>
      </w:r>
      <w:r w:rsidR="00FC173B">
        <w:t xml:space="preserve">svakom </w:t>
      </w:r>
      <w:r w:rsidR="002C56CC" w:rsidRPr="00A75F74">
        <w:t>de</w:t>
      </w:r>
      <w:r w:rsidR="00FC173B">
        <w:t>t</w:t>
      </w:r>
      <w:r w:rsidR="002C56CC" w:rsidRPr="00A75F74">
        <w:t>e</w:t>
      </w:r>
      <w:r w:rsidR="00FC173B">
        <w:t>tu</w:t>
      </w:r>
      <w:r w:rsidR="002C56CC" w:rsidRPr="00A75F74">
        <w:t xml:space="preserve"> i </w:t>
      </w:r>
      <w:r w:rsidR="00FC173B">
        <w:t>osmišljenu</w:t>
      </w:r>
      <w:r w:rsidR="002C56CC" w:rsidRPr="00A75F74">
        <w:t xml:space="preserve"> upotrebu digitalnih tehnologija u obrazovnim </w:t>
      </w:r>
      <w:r w:rsidR="00FC173B">
        <w:t>okruženjima</w:t>
      </w:r>
      <w:r w:rsidR="002C56CC" w:rsidRPr="00A75F74">
        <w:t>, zajednicama i domovima.</w:t>
      </w:r>
    </w:p>
    <w:p w:rsidR="00081B9E" w:rsidRPr="00A75F74" w:rsidRDefault="00081B9E" w:rsidP="002C2A20">
      <w:pPr>
        <w:pStyle w:val="SingleTxtG"/>
      </w:pPr>
      <w:r w:rsidRPr="00A75F74">
        <w:t>10.</w:t>
      </w:r>
      <w:r w:rsidRPr="00A75F74">
        <w:tab/>
        <w:t xml:space="preserve">Deca mogu biti diskriminisana isključivanjem iz upotrebe digitalnih tehnologija i usluga ili </w:t>
      </w:r>
      <w:r w:rsidR="00AE5CB7">
        <w:t>izlaganjem</w:t>
      </w:r>
      <w:r w:rsidRPr="00A75F74">
        <w:t xml:space="preserve"> </w:t>
      </w:r>
      <w:proofErr w:type="spellStart"/>
      <w:r w:rsidRPr="00A75F74">
        <w:t>komunikacija</w:t>
      </w:r>
      <w:r w:rsidR="00AE5CB7">
        <w:t>mai</w:t>
      </w:r>
      <w:r w:rsidRPr="00A75F74">
        <w:t>s</w:t>
      </w:r>
      <w:r w:rsidR="00AE5CB7">
        <w:t>punjenim</w:t>
      </w:r>
      <w:proofErr w:type="spellEnd"/>
      <w:r w:rsidRPr="00A75F74">
        <w:t xml:space="preserve"> mržnjom ili nepravednim tretmanom upotrebom tih tehnologija. Drugi oblici diskriminacije mogu nastati kada se automatizovani procesi koji rezultiraju filtriranjem informacija, </w:t>
      </w:r>
      <w:proofErr w:type="spellStart"/>
      <w:r w:rsidRPr="00A75F74">
        <w:t>profilisanjem</w:t>
      </w:r>
      <w:proofErr w:type="spellEnd"/>
      <w:r w:rsidRPr="00A75F74">
        <w:t xml:space="preserve"> ili donošenjem odluka zasnivaju na pristrasnim, delimičnim ili </w:t>
      </w:r>
      <w:r w:rsidR="00AE5CB7">
        <w:t>neetično pribavljenim</w:t>
      </w:r>
      <w:r w:rsidRPr="00A75F74">
        <w:t xml:space="preserve"> podacima o detetu.</w:t>
      </w:r>
    </w:p>
    <w:p w:rsidR="00A466B2" w:rsidRPr="00A75F74" w:rsidRDefault="00A466B2" w:rsidP="00657B89">
      <w:pPr>
        <w:pStyle w:val="SingleTxtG"/>
      </w:pPr>
      <w:r w:rsidRPr="00A75F74">
        <w:t>11.</w:t>
      </w:r>
      <w:r w:rsidRPr="00A75F74">
        <w:tab/>
      </w:r>
      <w:r w:rsidR="00C0015B" w:rsidRPr="00A75F74">
        <w:t xml:space="preserve">Komitet poziva </w:t>
      </w:r>
      <w:r w:rsidR="00AE5CB7">
        <w:t>d</w:t>
      </w:r>
      <w:r w:rsidRPr="00A75F74">
        <w:t xml:space="preserve">ržave </w:t>
      </w:r>
      <w:proofErr w:type="spellStart"/>
      <w:r w:rsidR="00C0015B" w:rsidRPr="00A75F74">
        <w:t>ugovornice</w:t>
      </w:r>
      <w:proofErr w:type="spellEnd"/>
      <w:r w:rsidR="00C0015B" w:rsidRPr="00A75F74">
        <w:t xml:space="preserve"> </w:t>
      </w:r>
      <w:r w:rsidRPr="00A75F74">
        <w:t xml:space="preserve">da preduzmu </w:t>
      </w:r>
      <w:proofErr w:type="spellStart"/>
      <w:r w:rsidRPr="00A75F74">
        <w:t>proaktivne</w:t>
      </w:r>
      <w:proofErr w:type="spellEnd"/>
      <w:r w:rsidRPr="00A75F74">
        <w:t xml:space="preserve"> mere za sprečavanje diskriminacije na osnovu pola, invaliditeta, soci</w:t>
      </w:r>
      <w:r w:rsidR="00345344">
        <w:t>jaln</w:t>
      </w:r>
      <w:r w:rsidR="00AE5CB7">
        <w:t>o-</w:t>
      </w:r>
      <w:r w:rsidRPr="00A75F74">
        <w:t xml:space="preserve">ekonomskog </w:t>
      </w:r>
      <w:r w:rsidR="00AE5CB7">
        <w:t>stanja</w:t>
      </w:r>
      <w:r w:rsidRPr="00A75F74">
        <w:t>, etničkog ili nacionalnog porekla, jezika ili bilo ko</w:t>
      </w:r>
      <w:r w:rsidR="00AE5CB7">
        <w:t>m</w:t>
      </w:r>
      <w:r w:rsidRPr="00A75F74">
        <w:t xml:space="preserve"> drug</w:t>
      </w:r>
      <w:r w:rsidR="00AE5CB7">
        <w:t>om</w:t>
      </w:r>
      <w:r w:rsidRPr="00A75F74">
        <w:t xml:space="preserve"> osnov</w:t>
      </w:r>
      <w:r w:rsidR="00AE5CB7">
        <w:t>u, kao</w:t>
      </w:r>
      <w:r w:rsidRPr="00A75F74">
        <w:t xml:space="preserve"> i diskriminacije </w:t>
      </w:r>
      <w:r w:rsidR="00657B89">
        <w:t xml:space="preserve">dece koja </w:t>
      </w:r>
      <w:r w:rsidR="00657B89">
        <w:lastRenderedPageBreak/>
        <w:t xml:space="preserve">pripadaju </w:t>
      </w:r>
      <w:r w:rsidRPr="00A75F74">
        <w:t>manjin</w:t>
      </w:r>
      <w:r w:rsidR="00657B89">
        <w:t>ama</w:t>
      </w:r>
      <w:r w:rsidRPr="00A75F74">
        <w:t xml:space="preserve"> </w:t>
      </w:r>
      <w:proofErr w:type="spellStart"/>
      <w:r w:rsidRPr="00A75F74">
        <w:t>i</w:t>
      </w:r>
      <w:r w:rsidR="00657B89">
        <w:t>li</w:t>
      </w:r>
      <w:r w:rsidR="00AE5CB7">
        <w:t>autohton</w:t>
      </w:r>
      <w:r w:rsidR="00657B89">
        <w:t>im</w:t>
      </w:r>
      <w:proofErr w:type="spellEnd"/>
      <w:r w:rsidR="00657B89">
        <w:t xml:space="preserve"> narodima</w:t>
      </w:r>
      <w:r w:rsidRPr="00A75F74">
        <w:t xml:space="preserve">, </w:t>
      </w:r>
      <w:r w:rsidR="00AE5CB7">
        <w:t xml:space="preserve">dece </w:t>
      </w:r>
      <w:r w:rsidRPr="00A75F74">
        <w:t xml:space="preserve">tražilaca azila, izbeglica i </w:t>
      </w:r>
      <w:proofErr w:type="spellStart"/>
      <w:r w:rsidRPr="00A75F74">
        <w:t>migranata</w:t>
      </w:r>
      <w:proofErr w:type="spellEnd"/>
      <w:r w:rsidRPr="00A75F74">
        <w:t xml:space="preserve">, </w:t>
      </w:r>
      <w:proofErr w:type="spellStart"/>
      <w:r w:rsidRPr="00A75F74">
        <w:t>lezbejk</w:t>
      </w:r>
      <w:r w:rsidR="00AE5CB7">
        <w:t>i</w:t>
      </w:r>
      <w:proofErr w:type="spellEnd"/>
      <w:r w:rsidRPr="00A75F74">
        <w:t>, homoseksual</w:t>
      </w:r>
      <w:r w:rsidR="00AE5CB7">
        <w:t>aca</w:t>
      </w:r>
      <w:r w:rsidRPr="00A75F74">
        <w:t xml:space="preserve">, </w:t>
      </w:r>
      <w:proofErr w:type="spellStart"/>
      <w:r w:rsidRPr="00A75F74">
        <w:t>biseksualn</w:t>
      </w:r>
      <w:r w:rsidR="00AE5CB7">
        <w:t>e</w:t>
      </w:r>
      <w:proofErr w:type="spellEnd"/>
      <w:r w:rsidRPr="00A75F74">
        <w:t xml:space="preserve">, </w:t>
      </w:r>
      <w:proofErr w:type="spellStart"/>
      <w:r w:rsidRPr="00A75F74">
        <w:t>transrodn</w:t>
      </w:r>
      <w:r w:rsidR="00AE5CB7">
        <w:t>e</w:t>
      </w:r>
      <w:proofErr w:type="spellEnd"/>
      <w:r w:rsidRPr="00A75F74">
        <w:t xml:space="preserve"> i </w:t>
      </w:r>
      <w:proofErr w:type="spellStart"/>
      <w:r w:rsidRPr="00A75F74">
        <w:t>inters</w:t>
      </w:r>
      <w:r w:rsidR="00657B89">
        <w:t>eksulne</w:t>
      </w:r>
      <w:proofErr w:type="spellEnd"/>
      <w:r w:rsidRPr="00A75F74">
        <w:t xml:space="preserve"> de</w:t>
      </w:r>
      <w:r w:rsidR="00AE5CB7">
        <w:t>ce</w:t>
      </w:r>
      <w:r w:rsidRPr="00A75F74">
        <w:t>, dec</w:t>
      </w:r>
      <w:r w:rsidR="00AE5CB7">
        <w:t>e</w:t>
      </w:r>
      <w:r w:rsidRPr="00A75F74">
        <w:t xml:space="preserve"> koja su žrtve i </w:t>
      </w:r>
      <w:r w:rsidR="00657B89">
        <w:t xml:space="preserve">su </w:t>
      </w:r>
      <w:r w:rsidRPr="00A75F74">
        <w:t>preživel</w:t>
      </w:r>
      <w:r w:rsidR="00657B89">
        <w:t>e</w:t>
      </w:r>
      <w:r w:rsidRPr="00A75F74">
        <w:t xml:space="preserve"> trgovinu ljudima ili seksualnu eksploataciju, dec</w:t>
      </w:r>
      <w:r w:rsidR="00657B89">
        <w:t>e</w:t>
      </w:r>
      <w:r w:rsidRPr="00A75F74">
        <w:t xml:space="preserve"> u alternativnoj nezi, dec</w:t>
      </w:r>
      <w:r w:rsidR="00657B89">
        <w:t>e</w:t>
      </w:r>
      <w:r w:rsidRPr="00A75F74">
        <w:t xml:space="preserve"> lišen</w:t>
      </w:r>
      <w:r w:rsidR="00657B89">
        <w:t>e</w:t>
      </w:r>
      <w:r w:rsidRPr="00A75F74">
        <w:t xml:space="preserve"> slobode i dec</w:t>
      </w:r>
      <w:r w:rsidR="00657B89">
        <w:t>e</w:t>
      </w:r>
      <w:r w:rsidRPr="00A75F74">
        <w:t xml:space="preserve"> u drugim ranjivim situacijama. </w:t>
      </w:r>
      <w:r w:rsidR="00657B89">
        <w:t>P</w:t>
      </w:r>
      <w:r w:rsidRPr="00A75F74">
        <w:t>otrebne</w:t>
      </w:r>
      <w:r w:rsidR="00657B89">
        <w:t xml:space="preserve"> su i</w:t>
      </w:r>
      <w:r w:rsidRPr="00A75F74">
        <w:t xml:space="preserve"> posebne mere za otklanjanje </w:t>
      </w:r>
      <w:proofErr w:type="spellStart"/>
      <w:r w:rsidRPr="00A75F74">
        <w:t>digitaln</w:t>
      </w:r>
      <w:r w:rsidR="00657B89">
        <w:t>ogpodvajanjana</w:t>
      </w:r>
      <w:proofErr w:type="spellEnd"/>
      <w:r w:rsidR="00657B89">
        <w:t xml:space="preserve"> </w:t>
      </w:r>
      <w:proofErr w:type="spellStart"/>
      <w:r w:rsidR="00657B89" w:rsidRPr="00A75F74">
        <w:t>rodn</w:t>
      </w:r>
      <w:r w:rsidR="00657B89">
        <w:t>ojosnovi</w:t>
      </w:r>
      <w:proofErr w:type="spellEnd"/>
      <w:r w:rsidR="00657B89">
        <w:t xml:space="preserve"> kada su u pitanju</w:t>
      </w:r>
      <w:r w:rsidRPr="00A75F74">
        <w:t xml:space="preserve"> devoj</w:t>
      </w:r>
      <w:r w:rsidR="00657B89">
        <w:t>čic</w:t>
      </w:r>
      <w:r w:rsidRPr="00A75F74">
        <w:t>e</w:t>
      </w:r>
      <w:r w:rsidR="00657B89">
        <w:t>, kao</w:t>
      </w:r>
      <w:r w:rsidRPr="00A75F74">
        <w:t xml:space="preserve"> i </w:t>
      </w:r>
      <w:r w:rsidR="00657B89">
        <w:t xml:space="preserve">za </w:t>
      </w:r>
      <w:r w:rsidRPr="00A75F74">
        <w:t>osiguravanje da se posebna pažnja posveti pristupu, digitalnoj pismenosti, privatnosti i bezbednosti na mreži.</w:t>
      </w:r>
    </w:p>
    <w:p w:rsidR="003D5546" w:rsidRPr="00A75F74" w:rsidRDefault="003D5546" w:rsidP="003D5546">
      <w:pPr>
        <w:pStyle w:val="H1G"/>
      </w:pPr>
      <w:r w:rsidRPr="00A75F74">
        <w:tab/>
        <w:t>B.</w:t>
      </w:r>
      <w:r w:rsidRPr="00A75F74">
        <w:tab/>
        <w:t>Najbolji interesi deteta</w:t>
      </w:r>
    </w:p>
    <w:p w:rsidR="003D5546" w:rsidRPr="00A75F74" w:rsidRDefault="003D5546" w:rsidP="002C2A20">
      <w:pPr>
        <w:pStyle w:val="SingleTxtG"/>
      </w:pPr>
      <w:r w:rsidRPr="00A75F74">
        <w:t>12.</w:t>
      </w:r>
      <w:r w:rsidRPr="00A75F74">
        <w:tab/>
      </w:r>
      <w:r w:rsidR="002A0A2E" w:rsidRPr="00A75F74">
        <w:t>Najbolji interes deteta je dinamičan koncept koji zahteva procenu koja odgovara konkretnom kontekstu.</w:t>
      </w:r>
      <w:r w:rsidR="00657B89">
        <w:rPr>
          <w:rStyle w:val="FootnoteReference"/>
        </w:rPr>
        <w:footnoteReference w:id="5"/>
      </w:r>
      <w:r w:rsidR="002A0A2E" w:rsidRPr="00A75F74">
        <w:t xml:space="preserve"> Digitalno okruženje prvobitno nije bilo dizajnirano za decu, ali igra značajnu ulogu u dečjim životima. Države </w:t>
      </w:r>
      <w:proofErr w:type="spellStart"/>
      <w:r w:rsidR="00D72D70" w:rsidRPr="00A75F74">
        <w:t>ugovornice</w:t>
      </w:r>
      <w:proofErr w:type="spellEnd"/>
      <w:r w:rsidR="00D72D70" w:rsidRPr="00A75F74">
        <w:t xml:space="preserve"> </w:t>
      </w:r>
      <w:r w:rsidR="002A0A2E" w:rsidRPr="00A75F74">
        <w:t xml:space="preserve">treba da osiguraju da je u svim akcijama u vezi sa obezbeđivanjem, uređivanjem, </w:t>
      </w:r>
      <w:proofErr w:type="spellStart"/>
      <w:r w:rsidR="002A0A2E" w:rsidRPr="00A75F74">
        <w:t>dizajniranjem</w:t>
      </w:r>
      <w:proofErr w:type="spellEnd"/>
      <w:r w:rsidR="002A0A2E" w:rsidRPr="00A75F74">
        <w:t>, upravljanjem i upotrebom digitalnog okruženja najbolji interes svakog deteta primarna briga.</w:t>
      </w:r>
    </w:p>
    <w:p w:rsidR="002A0A2E" w:rsidRPr="00A75F74" w:rsidRDefault="002A0A2E" w:rsidP="002A0A2E">
      <w:pPr>
        <w:pStyle w:val="SingleTxtG"/>
      </w:pPr>
      <w:r w:rsidRPr="00A75F74">
        <w:t>13.</w:t>
      </w:r>
      <w:r w:rsidRPr="00A75F74">
        <w:tab/>
        <w:t xml:space="preserve">Države </w:t>
      </w:r>
      <w:proofErr w:type="spellStart"/>
      <w:r w:rsidR="00D72D70" w:rsidRPr="00A75F74">
        <w:t>ugovornice</w:t>
      </w:r>
      <w:proofErr w:type="spellEnd"/>
      <w:r w:rsidR="00D72D70" w:rsidRPr="00A75F74">
        <w:t xml:space="preserve"> </w:t>
      </w:r>
      <w:r w:rsidRPr="00A75F74">
        <w:t>treba da uključe nacionalna i lokalna tela koja nadgledaju ispunjavanje prava dece u takve ak</w:t>
      </w:r>
      <w:r w:rsidR="00657B89">
        <w:t>tivnosti</w:t>
      </w:r>
      <w:r w:rsidRPr="00A75F74">
        <w:t xml:space="preserve">. </w:t>
      </w:r>
      <w:r w:rsidR="00657B89" w:rsidRPr="00A75F74">
        <w:t>Razmatrajući</w:t>
      </w:r>
      <w:r w:rsidRPr="00A75F74">
        <w:t xml:space="preserve"> najbolje interese deteta, trebalo bi da uzmu u obzir sva dečja prava, </w:t>
      </w:r>
      <w:r w:rsidR="00657B89" w:rsidRPr="00A75F74">
        <w:t>uključujući</w:t>
      </w:r>
      <w:r w:rsidRPr="00A75F74">
        <w:t xml:space="preserve"> njihova prava da traže, primaju i prenose informacije, da budu </w:t>
      </w:r>
      <w:r w:rsidR="00657B89" w:rsidRPr="00A75F74">
        <w:t>zaštićena</w:t>
      </w:r>
      <w:r w:rsidRPr="00A75F74">
        <w:t xml:space="preserve"> od </w:t>
      </w:r>
      <w:r w:rsidR="00657B89">
        <w:t>povređivanja</w:t>
      </w:r>
      <w:r w:rsidR="00406A19">
        <w:t>, kao</w:t>
      </w:r>
      <w:r w:rsidRPr="00A75F74">
        <w:t xml:space="preserve"> i da njihovi stavovi dobiju </w:t>
      </w:r>
      <w:r w:rsidR="00406A19" w:rsidRPr="00A75F74">
        <w:t>odgovarajuću</w:t>
      </w:r>
      <w:r w:rsidRPr="00A75F74">
        <w:t xml:space="preserve"> težinu</w:t>
      </w:r>
      <w:r w:rsidR="00406A19">
        <w:t>, odnosno da</w:t>
      </w:r>
      <w:r w:rsidRPr="00A75F74">
        <w:t xml:space="preserve"> obezbede transparentnost u proceni najbolji</w:t>
      </w:r>
      <w:r w:rsidR="00406A19">
        <w:t>h</w:t>
      </w:r>
      <w:r w:rsidRPr="00A75F74">
        <w:t xml:space="preserve"> interes</w:t>
      </w:r>
      <w:r w:rsidR="00406A19">
        <w:t>a</w:t>
      </w:r>
      <w:r w:rsidR="00406A19" w:rsidRPr="00A75F74">
        <w:t xml:space="preserve"> deteta</w:t>
      </w:r>
      <w:r w:rsidRPr="00A75F74">
        <w:t xml:space="preserve"> i kriterijum</w:t>
      </w:r>
      <w:r w:rsidR="00406A19">
        <w:t>a</w:t>
      </w:r>
      <w:r w:rsidRPr="00A75F74">
        <w:t xml:space="preserve"> koji su primenjeni.</w:t>
      </w:r>
    </w:p>
    <w:p w:rsidR="00826936" w:rsidRPr="00A75F74" w:rsidRDefault="00826936" w:rsidP="00826936">
      <w:pPr>
        <w:pStyle w:val="H1G"/>
      </w:pPr>
      <w:r w:rsidRPr="00A75F74">
        <w:tab/>
        <w:t>C.</w:t>
      </w:r>
      <w:r w:rsidRPr="00A75F74">
        <w:tab/>
        <w:t>Pravo na život, opstanak i razvoj</w:t>
      </w:r>
    </w:p>
    <w:p w:rsidR="0080334B" w:rsidRPr="00A75F74" w:rsidRDefault="00826936" w:rsidP="002A0A2E">
      <w:pPr>
        <w:pStyle w:val="SingleTxtG"/>
      </w:pPr>
      <w:r w:rsidRPr="00A75F74">
        <w:t>14.</w:t>
      </w:r>
      <w:r w:rsidRPr="00A75F74">
        <w:tab/>
      </w:r>
      <w:r w:rsidR="00406A19" w:rsidRPr="00A75F74">
        <w:t>Mogućnosti</w:t>
      </w:r>
      <w:r w:rsidR="000D4767" w:rsidRPr="00A75F74">
        <w:t xml:space="preserve"> koje pruža digitalno okruženje igraju sve presudniju ulogu u razvoju dece i mogu biti od vitalnog značaja za život i opstanak dece, posebno u kriznim situacijama. Države </w:t>
      </w:r>
      <w:proofErr w:type="spellStart"/>
      <w:r w:rsidR="000D4767" w:rsidRPr="00A75F74">
        <w:t>ugovornice</w:t>
      </w:r>
      <w:proofErr w:type="spellEnd"/>
      <w:r w:rsidR="000D4767" w:rsidRPr="00A75F74">
        <w:t xml:space="preserve"> treba da preduzmu sve </w:t>
      </w:r>
      <w:r w:rsidR="00406A19" w:rsidRPr="00A75F74">
        <w:t>odgovarajuće</w:t>
      </w:r>
      <w:r w:rsidR="000D4767" w:rsidRPr="00A75F74">
        <w:t xml:space="preserve"> mere da zaštite decu od rizika po njihovo pravo na život, opstanak i razvoj. Rizici koji se odnose na sadržaj, kontakt, ponašanje i </w:t>
      </w:r>
      <w:r w:rsidR="00406A19">
        <w:t>dogovore</w:t>
      </w:r>
      <w:r w:rsidR="000D4767" w:rsidRPr="00A75F74">
        <w:t xml:space="preserve"> uključuju, između ostalog, nasilni i seksualni sadržaj, </w:t>
      </w:r>
      <w:r w:rsidR="00406A19">
        <w:t>sajber-</w:t>
      </w:r>
      <w:r w:rsidR="000D4767" w:rsidRPr="00A75F74">
        <w:t xml:space="preserve">napad i uznemiravanje, kockanje, eksploataciju i </w:t>
      </w:r>
      <w:r w:rsidR="0041775C">
        <w:t>zloupotrebu</w:t>
      </w:r>
      <w:r w:rsidR="000D4767" w:rsidRPr="00A75F74">
        <w:t xml:space="preserve">, </w:t>
      </w:r>
      <w:r w:rsidR="00406A19" w:rsidRPr="00A75F74">
        <w:t>uključujući</w:t>
      </w:r>
      <w:r w:rsidR="000D4767" w:rsidRPr="00A75F74">
        <w:t xml:space="preserve"> seksualno </w:t>
      </w:r>
      <w:r w:rsidR="00406A19">
        <w:t>eksploataciju</w:t>
      </w:r>
      <w:r w:rsidR="000D4767" w:rsidRPr="00A75F74">
        <w:t xml:space="preserve"> i </w:t>
      </w:r>
      <w:r w:rsidR="0041775C">
        <w:t>zloupotrebu</w:t>
      </w:r>
      <w:r w:rsidR="000D4767" w:rsidRPr="00A75F74">
        <w:t xml:space="preserve">, </w:t>
      </w:r>
      <w:r w:rsidR="00406A19">
        <w:t xml:space="preserve">kao </w:t>
      </w:r>
      <w:r w:rsidR="000D4767" w:rsidRPr="00A75F74">
        <w:t>i promo</w:t>
      </w:r>
      <w:r w:rsidR="00406A19">
        <w:t>visanje</w:t>
      </w:r>
      <w:r w:rsidR="000D4767" w:rsidRPr="00A75F74">
        <w:t xml:space="preserve"> ili podsticanje na samoubistvo</w:t>
      </w:r>
      <w:r w:rsidR="009962BC" w:rsidRPr="00A75F74">
        <w:t xml:space="preserve"> ili </w:t>
      </w:r>
      <w:proofErr w:type="spellStart"/>
      <w:r w:rsidR="00406A19" w:rsidRPr="00A75F74">
        <w:t>aktivnosti</w:t>
      </w:r>
      <w:r w:rsidR="009962BC" w:rsidRPr="00A75F74">
        <w:t>opasne</w:t>
      </w:r>
      <w:proofErr w:type="spellEnd"/>
      <w:r w:rsidR="009962BC" w:rsidRPr="00A75F74">
        <w:t xml:space="preserve"> po život</w:t>
      </w:r>
      <w:r w:rsidR="000D4767" w:rsidRPr="00A75F74">
        <w:t xml:space="preserve">, </w:t>
      </w:r>
      <w:r w:rsidR="00406A19" w:rsidRPr="00A75F74">
        <w:t>uključujući</w:t>
      </w:r>
      <w:r w:rsidR="000D4767" w:rsidRPr="00A75F74">
        <w:t xml:space="preserve"> kriminalce ili naoružane grupe označene kao terorističke ili nasiln</w:t>
      </w:r>
      <w:r w:rsidR="00406A19">
        <w:t>o</w:t>
      </w:r>
      <w:r w:rsidR="000D4767" w:rsidRPr="00A75F74">
        <w:t xml:space="preserve"> ekstremističke. Države </w:t>
      </w:r>
      <w:proofErr w:type="spellStart"/>
      <w:r w:rsidR="009962BC" w:rsidRPr="00A75F74">
        <w:t>ugovornice</w:t>
      </w:r>
      <w:proofErr w:type="spellEnd"/>
      <w:r w:rsidR="009962BC" w:rsidRPr="00A75F74">
        <w:t xml:space="preserve"> </w:t>
      </w:r>
      <w:r w:rsidR="000D4767" w:rsidRPr="00A75F74">
        <w:t xml:space="preserve">treba da identifikuju i reše nove rizike sa kojima se deca suočavaju u različitim kontekstima, </w:t>
      </w:r>
      <w:r w:rsidR="00406A19">
        <w:t>između ostalog</w:t>
      </w:r>
      <w:r w:rsidR="000D4767" w:rsidRPr="00A75F74">
        <w:t xml:space="preserve"> i </w:t>
      </w:r>
      <w:r w:rsidR="00406A19">
        <w:t>tako što će sa</w:t>
      </w:r>
      <w:r w:rsidR="000D4767" w:rsidRPr="00A75F74">
        <w:t>sluša</w:t>
      </w:r>
      <w:r w:rsidR="00406A19">
        <w:t>ti</w:t>
      </w:r>
      <w:r w:rsidR="000D4767" w:rsidRPr="00A75F74">
        <w:t xml:space="preserve"> njihov</w:t>
      </w:r>
      <w:r w:rsidR="00406A19">
        <w:t>e</w:t>
      </w:r>
      <w:r w:rsidR="000D4767" w:rsidRPr="00A75F74">
        <w:t xml:space="preserve"> stavov</w:t>
      </w:r>
      <w:r w:rsidR="00406A19">
        <w:t>e</w:t>
      </w:r>
      <w:r w:rsidR="000D4767" w:rsidRPr="00A75F74">
        <w:t xml:space="preserve"> o prirodi određenih rizika sa kojima se suočavaju.</w:t>
      </w:r>
    </w:p>
    <w:p w:rsidR="004A7654" w:rsidRPr="00A75F74" w:rsidRDefault="004A7654" w:rsidP="002A0A2E">
      <w:pPr>
        <w:pStyle w:val="SingleTxtG"/>
      </w:pPr>
      <w:r w:rsidRPr="00A75F74">
        <w:t>15.</w:t>
      </w:r>
      <w:r w:rsidRPr="00A75F74">
        <w:tab/>
      </w:r>
      <w:r w:rsidR="003F02EA" w:rsidRPr="00A75F74">
        <w:t xml:space="preserve">Upotreba digitalnih uređaja ne bi smela biti štetna, niti sme biti zamena za lične interakcije između dece ili između dece i roditelja ili </w:t>
      </w:r>
      <w:r w:rsidR="00864FFA">
        <w:t>staralaca</w:t>
      </w:r>
      <w:r w:rsidR="003F02EA" w:rsidRPr="00A75F74">
        <w:t xml:space="preserve">. Države </w:t>
      </w:r>
      <w:proofErr w:type="spellStart"/>
      <w:r w:rsidR="009962BC" w:rsidRPr="00A75F74">
        <w:t>ugovornice</w:t>
      </w:r>
      <w:proofErr w:type="spellEnd"/>
      <w:r w:rsidR="009962BC" w:rsidRPr="00A75F74">
        <w:t xml:space="preserve"> </w:t>
      </w:r>
      <w:r w:rsidR="003F02EA" w:rsidRPr="00A75F74">
        <w:t xml:space="preserve">treba da obrate posebnu pažnju na efekte tehnologije u najranijim godinama života, kada je plastičnost mozga maksimalna, a socijalno okruženje, posebno odnosi sa roditeljima i </w:t>
      </w:r>
      <w:r w:rsidR="00864FFA">
        <w:t>staraoc</w:t>
      </w:r>
      <w:r w:rsidR="003F02EA" w:rsidRPr="00A75F74">
        <w:t xml:space="preserve">ima, presudni za oblikovanje kognitivnog, emocionalnog i socijalnog razvoja dece. U ranim godinama mogu biti potrebne mere predostrožnosti, u zavisnosti od dizajna, namene i upotrebe tehnologija. Obuku i savete o pravilnoj upotrebi digitalnih uređaja treba pružiti roditeljima, </w:t>
      </w:r>
      <w:r w:rsidR="00864FFA">
        <w:t>staraocima</w:t>
      </w:r>
      <w:r w:rsidR="003F02EA" w:rsidRPr="00A75F74">
        <w:t xml:space="preserve">, vaspitačima i drugim relevantnim akterima, </w:t>
      </w:r>
      <w:r w:rsidR="00095208" w:rsidRPr="00A75F74">
        <w:t>uzimajući</w:t>
      </w:r>
      <w:r w:rsidR="003F02EA" w:rsidRPr="00A75F74">
        <w:t xml:space="preserve"> u obzir istraživanj</w:t>
      </w:r>
      <w:r w:rsidR="00095208">
        <w:t>a</w:t>
      </w:r>
      <w:r w:rsidR="003F02EA" w:rsidRPr="00A75F74">
        <w:t xml:space="preserve"> o efektima digitalnih tehnologija na razvoj dece, posebno tokom kritičnih neuroloških </w:t>
      </w:r>
      <w:r w:rsidR="00095208">
        <w:t>brzih promena tokom</w:t>
      </w:r>
      <w:r w:rsidR="00095208">
        <w:rPr>
          <w:rStyle w:val="FootnoteReference"/>
        </w:rPr>
        <w:footnoteReference w:id="6"/>
      </w:r>
      <w:r w:rsidR="003F02EA" w:rsidRPr="00A75F74">
        <w:t xml:space="preserve"> ranog detinjstva i </w:t>
      </w:r>
      <w:r w:rsidR="00B70B47" w:rsidRPr="00A75F74">
        <w:t>adolescencije</w:t>
      </w:r>
      <w:r w:rsidR="003F02EA" w:rsidRPr="00A75F74">
        <w:t>.</w:t>
      </w:r>
    </w:p>
    <w:p w:rsidR="00E15679" w:rsidRPr="00A75F74" w:rsidRDefault="00E15679" w:rsidP="00E15679">
      <w:pPr>
        <w:pStyle w:val="H1G"/>
      </w:pPr>
      <w:r w:rsidRPr="00A75F74">
        <w:lastRenderedPageBreak/>
        <w:tab/>
        <w:t>D.</w:t>
      </w:r>
      <w:r w:rsidRPr="00A75F74">
        <w:tab/>
      </w:r>
      <w:r w:rsidR="00341607" w:rsidRPr="00A75F74">
        <w:t>Poštovanje stavova deteta</w:t>
      </w:r>
    </w:p>
    <w:p w:rsidR="00023CEC" w:rsidRPr="00A75F74" w:rsidRDefault="00E15679" w:rsidP="00E15679">
      <w:pPr>
        <w:pStyle w:val="SingleTxtG"/>
      </w:pPr>
      <w:r w:rsidRPr="00A75F74">
        <w:t>16.</w:t>
      </w:r>
      <w:r w:rsidRPr="00A75F74">
        <w:tab/>
      </w:r>
      <w:r w:rsidR="00341607" w:rsidRPr="00A75F74">
        <w:t xml:space="preserve">Deca su </w:t>
      </w:r>
      <w:r w:rsidR="00095208">
        <w:t>izjavila</w:t>
      </w:r>
      <w:r w:rsidR="00341607" w:rsidRPr="00A75F74">
        <w:t xml:space="preserve"> da im digitalno okruženje pruža ključne </w:t>
      </w:r>
      <w:r w:rsidR="00095208" w:rsidRPr="00A75F74">
        <w:t>mogućnosti</w:t>
      </w:r>
      <w:r w:rsidR="00341607" w:rsidRPr="00A75F74">
        <w:t xml:space="preserve"> da se njihovi glasovi čuju u </w:t>
      </w:r>
      <w:r w:rsidR="00095208">
        <w:t>pitanjima</w:t>
      </w:r>
      <w:r w:rsidR="00341607" w:rsidRPr="00A75F74">
        <w:t xml:space="preserve"> koje ih </w:t>
      </w:r>
      <w:r w:rsidR="00095208">
        <w:t>se tiču</w:t>
      </w:r>
      <w:r w:rsidR="00341607" w:rsidRPr="00A75F74">
        <w:t>.</w:t>
      </w:r>
      <w:r w:rsidR="00095208">
        <w:rPr>
          <w:rStyle w:val="FootnoteReference"/>
        </w:rPr>
        <w:footnoteReference w:id="7"/>
      </w:r>
      <w:r w:rsidR="00341607" w:rsidRPr="00A75F74">
        <w:t xml:space="preserve"> Upotreba digitalnih tehnologija može </w:t>
      </w:r>
      <w:r w:rsidR="00095208" w:rsidRPr="00A75F74">
        <w:t>pomoći</w:t>
      </w:r>
      <w:r w:rsidR="00341607" w:rsidRPr="00A75F74">
        <w:t xml:space="preserve"> u ostvarivanju </w:t>
      </w:r>
      <w:r w:rsidR="00095208" w:rsidRPr="00A75F74">
        <w:t>učešća</w:t>
      </w:r>
      <w:r w:rsidR="00341607" w:rsidRPr="00A75F74">
        <w:t xml:space="preserve"> dece na lokalnom, nacionalnom i međunarodnom nivou.</w:t>
      </w:r>
      <w:r w:rsidR="00095208">
        <w:rPr>
          <w:rStyle w:val="FootnoteReference"/>
        </w:rPr>
        <w:footnoteReference w:id="8"/>
      </w:r>
      <w:r w:rsidR="00341607" w:rsidRPr="00A75F74">
        <w:t xml:space="preserve"> Države </w:t>
      </w:r>
      <w:proofErr w:type="spellStart"/>
      <w:r w:rsidR="00206560" w:rsidRPr="00A75F74">
        <w:t>ugovornice</w:t>
      </w:r>
      <w:proofErr w:type="spellEnd"/>
      <w:r w:rsidR="00206560" w:rsidRPr="00A75F74">
        <w:t xml:space="preserve"> </w:t>
      </w:r>
      <w:r w:rsidR="00341607" w:rsidRPr="00A75F74">
        <w:t xml:space="preserve">treba da promovišu svest </w:t>
      </w:r>
      <w:r w:rsidR="00095208">
        <w:t xml:space="preserve">o </w:t>
      </w:r>
      <w:r w:rsidR="00095208" w:rsidRPr="00A75F74">
        <w:t xml:space="preserve">digitalnim sredstvima </w:t>
      </w:r>
      <w:r w:rsidR="00341607" w:rsidRPr="00A75F74">
        <w:t xml:space="preserve">i </w:t>
      </w:r>
      <w:proofErr w:type="spellStart"/>
      <w:r w:rsidR="00956DEE">
        <w:t>odgovarajući</w:t>
      </w:r>
      <w:r w:rsidR="00341607" w:rsidRPr="00A75F74">
        <w:t>pristup</w:t>
      </w:r>
      <w:proofErr w:type="spellEnd"/>
      <w:r w:rsidR="00341607" w:rsidRPr="00A75F74">
        <w:t xml:space="preserve"> </w:t>
      </w:r>
      <w:r w:rsidR="00095208">
        <w:t>kako bi</w:t>
      </w:r>
      <w:r w:rsidR="00341607" w:rsidRPr="00A75F74">
        <w:t xml:space="preserve"> dec</w:t>
      </w:r>
      <w:r w:rsidR="00095208">
        <w:t>a mogla</w:t>
      </w:r>
      <w:r w:rsidR="00341607" w:rsidRPr="00A75F74">
        <w:t xml:space="preserve"> da izraze svoje stavove</w:t>
      </w:r>
      <w:r w:rsidR="00956DEE">
        <w:t xml:space="preserve">, kao </w:t>
      </w:r>
      <w:r w:rsidR="00341607" w:rsidRPr="00A75F74">
        <w:t xml:space="preserve"> i </w:t>
      </w:r>
      <w:r w:rsidR="00956DEE">
        <w:t xml:space="preserve">da </w:t>
      </w:r>
      <w:r w:rsidR="00341607" w:rsidRPr="00A75F74">
        <w:t xml:space="preserve">ponude obuku i podršku deci da učestvuju ravnopravno sa odraslima, po </w:t>
      </w:r>
      <w:proofErr w:type="spellStart"/>
      <w:r w:rsidR="00341607" w:rsidRPr="00A75F74">
        <w:t>potrebi</w:t>
      </w:r>
      <w:r w:rsidR="00956DEE" w:rsidRPr="00A75F74">
        <w:t>anonimno</w:t>
      </w:r>
      <w:proofErr w:type="spellEnd"/>
      <w:r w:rsidR="00341607" w:rsidRPr="00A75F74">
        <w:t>, tako da mogu biti efikasni zagovornici njihovih prava, pojedinačno i kao grupa</w:t>
      </w:r>
      <w:r w:rsidRPr="00A75F74">
        <w:t>.</w:t>
      </w:r>
    </w:p>
    <w:p w:rsidR="00611200" w:rsidRPr="00A75F74" w:rsidRDefault="00023CEC" w:rsidP="00E15679">
      <w:pPr>
        <w:pStyle w:val="SingleTxtG"/>
      </w:pPr>
      <w:r w:rsidRPr="00A75F74">
        <w:t>17.</w:t>
      </w:r>
      <w:r w:rsidRPr="00A75F74">
        <w:tab/>
        <w:t xml:space="preserve">Kada razvijaju zakonodavstvo, politike, programe, usluge i obuku o pravima </w:t>
      </w:r>
      <w:r w:rsidR="00956DEE">
        <w:t xml:space="preserve">deteta </w:t>
      </w:r>
      <w:r w:rsidRPr="00A75F74">
        <w:t xml:space="preserve">u </w:t>
      </w:r>
      <w:r w:rsidR="00206560" w:rsidRPr="00A75F74">
        <w:t>vezi sa digitalnim okruženjem, D</w:t>
      </w:r>
      <w:r w:rsidRPr="00A75F74">
        <w:t xml:space="preserve">ržave </w:t>
      </w:r>
      <w:proofErr w:type="spellStart"/>
      <w:r w:rsidR="00206560" w:rsidRPr="00A75F74">
        <w:t>ugovornice</w:t>
      </w:r>
      <w:proofErr w:type="spellEnd"/>
      <w:r w:rsidR="00206560" w:rsidRPr="00A75F74">
        <w:t xml:space="preserve"> </w:t>
      </w:r>
      <w:r w:rsidRPr="00A75F74">
        <w:t xml:space="preserve">treba da uključe svu decu, saslušaju njihove potrebe i daju </w:t>
      </w:r>
      <w:r w:rsidR="00956DEE" w:rsidRPr="00A75F74">
        <w:t>odgovarajuću</w:t>
      </w:r>
      <w:r w:rsidRPr="00A75F74">
        <w:t xml:space="preserve"> težinu njihovim stavovima. On</w:t>
      </w:r>
      <w:r w:rsidR="00956DEE">
        <w:t>e</w:t>
      </w:r>
      <w:r w:rsidRPr="00A75F74">
        <w:t xml:space="preserve"> bi trebalo da osiguraju da </w:t>
      </w:r>
      <w:proofErr w:type="spellStart"/>
      <w:r w:rsidRPr="00A75F74">
        <w:t>pružaoci</w:t>
      </w:r>
      <w:proofErr w:type="spellEnd"/>
      <w:r w:rsidRPr="00A75F74">
        <w:t xml:space="preserve"> digitalnih usluga aktivno stupaju u interakciju sa decom, </w:t>
      </w:r>
      <w:proofErr w:type="spellStart"/>
      <w:r w:rsidR="00956DEE" w:rsidRPr="00A75F74">
        <w:t>primenjujućiodgovarajuće</w:t>
      </w:r>
      <w:proofErr w:type="spellEnd"/>
      <w:r w:rsidRPr="00A75F74">
        <w:t xml:space="preserve"> mere zaštite, i da </w:t>
      </w:r>
      <w:r w:rsidR="00956DEE">
        <w:t>njihove</w:t>
      </w:r>
      <w:r w:rsidRPr="00A75F74">
        <w:t xml:space="preserve"> stavove uzmu u obzir prilikom razvoja proizvoda i usluga.</w:t>
      </w:r>
    </w:p>
    <w:p w:rsidR="00611200" w:rsidRPr="00A75F74" w:rsidRDefault="00611200" w:rsidP="00611200">
      <w:pPr>
        <w:pStyle w:val="SingleTxtG"/>
      </w:pPr>
      <w:r w:rsidRPr="00A75F74">
        <w:t>18.</w:t>
      </w:r>
      <w:r w:rsidRPr="00A75F74">
        <w:tab/>
        <w:t xml:space="preserve">Države </w:t>
      </w:r>
      <w:proofErr w:type="spellStart"/>
      <w:r w:rsidR="008B7BB0" w:rsidRPr="00A75F74">
        <w:t>ugovornice</w:t>
      </w:r>
      <w:proofErr w:type="spellEnd"/>
      <w:r w:rsidR="008B7BB0" w:rsidRPr="00A75F74">
        <w:t xml:space="preserve"> </w:t>
      </w:r>
      <w:r w:rsidRPr="00A75F74">
        <w:t xml:space="preserve">se podstiču da koriste digitalno okruženje za konsultacije sa decom o relevantnim zakonodavnim, administrativnim i drugim merama i da obezbede da se njihovi stavovi ozbiljno razmotre i da </w:t>
      </w:r>
      <w:r w:rsidR="00956DEE" w:rsidRPr="00A75F74">
        <w:t>učešće</w:t>
      </w:r>
      <w:r w:rsidRPr="00A75F74">
        <w:t xml:space="preserve"> dece ne rezultira neprimerenim nadgledanjem ili prikupljanjem podataka koji krše njihovo pravo na privatnost, slobod</w:t>
      </w:r>
      <w:r w:rsidR="00956DEE">
        <w:t>u</w:t>
      </w:r>
      <w:r w:rsidRPr="00A75F74">
        <w:t xml:space="preserve"> misli i </w:t>
      </w:r>
      <w:r w:rsidR="00956DEE">
        <w:t>stavova</w:t>
      </w:r>
      <w:r w:rsidRPr="00A75F74">
        <w:t>. On</w:t>
      </w:r>
      <w:r w:rsidR="00956DEE">
        <w:t>e</w:t>
      </w:r>
      <w:r w:rsidRPr="00A75F74">
        <w:t xml:space="preserve"> bi trebalo da osiguraju da konsultativni procesi </w:t>
      </w:r>
      <w:r w:rsidR="00956DEE">
        <w:t>obuhvate</w:t>
      </w:r>
      <w:r w:rsidRPr="00A75F74">
        <w:t xml:space="preserve"> decu koja nemaju pristup tehnologiji ili veštin</w:t>
      </w:r>
      <w:r w:rsidR="00956DEE">
        <w:t>e</w:t>
      </w:r>
      <w:r w:rsidRPr="00A75F74">
        <w:t xml:space="preserve"> da je koriste.</w:t>
      </w:r>
    </w:p>
    <w:p w:rsidR="004A7502" w:rsidRPr="00A75F74" w:rsidRDefault="004A7502" w:rsidP="004A7502">
      <w:pPr>
        <w:pStyle w:val="HChG"/>
      </w:pPr>
      <w:r w:rsidRPr="00A75F74">
        <w:tab/>
        <w:t>IV.</w:t>
      </w:r>
      <w:r w:rsidRPr="00A75F74">
        <w:tab/>
      </w:r>
      <w:r w:rsidR="007A1036">
        <w:t>Razvojni k</w:t>
      </w:r>
      <w:r w:rsidR="00E72F20" w:rsidRPr="00A75F74">
        <w:t>apaciteti</w:t>
      </w:r>
    </w:p>
    <w:p w:rsidR="004A7502" w:rsidRPr="00A75F74" w:rsidRDefault="004A7502" w:rsidP="004A7502">
      <w:pPr>
        <w:pStyle w:val="SingleTxtG"/>
      </w:pPr>
      <w:r w:rsidRPr="00A75F74">
        <w:t>19.</w:t>
      </w:r>
      <w:r w:rsidRPr="00A75F74">
        <w:tab/>
      </w:r>
      <w:r w:rsidR="008D1706" w:rsidRPr="00A75F74">
        <w:t xml:space="preserve">Države </w:t>
      </w:r>
      <w:proofErr w:type="spellStart"/>
      <w:r w:rsidR="00635AE9" w:rsidRPr="00A75F74">
        <w:t>ugovornice</w:t>
      </w:r>
      <w:proofErr w:type="spellEnd"/>
      <w:r w:rsidR="00635AE9" w:rsidRPr="00A75F74">
        <w:t xml:space="preserve"> </w:t>
      </w:r>
      <w:r w:rsidR="008D1706" w:rsidRPr="00A75F74">
        <w:t xml:space="preserve">treba da poštuju evolutivne sposobnosti deteta kao principa koji </w:t>
      </w:r>
      <w:proofErr w:type="spellStart"/>
      <w:r w:rsidR="00956DEE" w:rsidRPr="00A75F74">
        <w:t>omoguća</w:t>
      </w:r>
      <w:r w:rsidR="00956DEE">
        <w:t>va</w:t>
      </w:r>
      <w:r w:rsidR="008D1706" w:rsidRPr="00A75F74">
        <w:t>proces</w:t>
      </w:r>
      <w:proofErr w:type="spellEnd"/>
      <w:r w:rsidR="008D1706" w:rsidRPr="00A75F74">
        <w:t xml:space="preserve"> njihovog postepenog sticanja kompetencija, razumevanja i delovanja.</w:t>
      </w:r>
      <w:r w:rsidR="006574EC">
        <w:rPr>
          <w:rStyle w:val="FootnoteReference"/>
        </w:rPr>
        <w:footnoteReference w:id="9"/>
      </w:r>
      <w:r w:rsidR="008D1706" w:rsidRPr="00A75F74">
        <w:t xml:space="preserve"> Taj proces </w:t>
      </w:r>
      <w:r w:rsidR="006574EC">
        <w:t>je</w:t>
      </w:r>
      <w:r w:rsidR="008D1706" w:rsidRPr="00A75F74">
        <w:t xml:space="preserve"> posebno znač</w:t>
      </w:r>
      <w:r w:rsidR="006574EC">
        <w:t>ajan</w:t>
      </w:r>
      <w:r w:rsidR="008D1706" w:rsidRPr="00A75F74">
        <w:t xml:space="preserve"> u digitalnom okruženju, gde se deca mogu više angažovati nezavisno od nadzora roditelja i </w:t>
      </w:r>
      <w:r w:rsidR="007A1036">
        <w:t>staraoca</w:t>
      </w:r>
      <w:r w:rsidR="008D1706" w:rsidRPr="00A75F74">
        <w:t xml:space="preserve">. Rizici i </w:t>
      </w:r>
      <w:r w:rsidR="006574EC" w:rsidRPr="00A75F74">
        <w:t>mogućnosti</w:t>
      </w:r>
      <w:r w:rsidR="008D1706" w:rsidRPr="00A75F74">
        <w:t xml:space="preserve"> povezani sa dečijim angažovanjem u digitalnom okruženju menjaju se u zavisnosti od njihove starosti i stepena razvoja. </w:t>
      </w:r>
      <w:r w:rsidR="006574EC">
        <w:t xml:space="preserve">Države </w:t>
      </w:r>
      <w:proofErr w:type="spellStart"/>
      <w:r w:rsidR="006574EC">
        <w:t>ugovornice</w:t>
      </w:r>
      <w:proofErr w:type="spellEnd"/>
      <w:r w:rsidR="008D1706" w:rsidRPr="00A75F74">
        <w:t xml:space="preserve"> bi trebal</w:t>
      </w:r>
      <w:r w:rsidR="006574EC">
        <w:t>o da se</w:t>
      </w:r>
      <w:r w:rsidR="008D1706" w:rsidRPr="00A75F74">
        <w:t xml:space="preserve"> rukovod</w:t>
      </w:r>
      <w:r w:rsidR="006574EC">
        <w:t xml:space="preserve">e </w:t>
      </w:r>
      <w:r w:rsidR="008D1706" w:rsidRPr="00A75F74">
        <w:t xml:space="preserve">tim </w:t>
      </w:r>
      <w:r w:rsidR="006574EC">
        <w:t>zaključcima</w:t>
      </w:r>
      <w:r w:rsidR="008D1706" w:rsidRPr="00A75F74">
        <w:t xml:space="preserve"> kad god osmišljavaju mere za zaštitu dece u </w:t>
      </w:r>
      <w:r w:rsidR="006574EC">
        <w:t>digitalnom</w:t>
      </w:r>
      <w:r w:rsidR="008D1706" w:rsidRPr="00A75F74">
        <w:t xml:space="preserve"> okruženju ili im olakšavaju pristup. Dizajn mera prilagođenih uzrastu treba da </w:t>
      </w:r>
      <w:r w:rsidR="006574EC">
        <w:t>de zasniva na</w:t>
      </w:r>
      <w:r w:rsidR="008D1706" w:rsidRPr="00A75F74">
        <w:t xml:space="preserve"> najboljim i najsavremenijim dostupnim istraživanjima iz različitih disciplina.</w:t>
      </w:r>
    </w:p>
    <w:p w:rsidR="008D50EF" w:rsidRPr="00A75F74" w:rsidRDefault="008D50EF" w:rsidP="004A7502">
      <w:pPr>
        <w:pStyle w:val="SingleTxtG"/>
      </w:pPr>
      <w:r w:rsidRPr="00A75F74">
        <w:t>20.</w:t>
      </w:r>
      <w:r w:rsidRPr="00A75F74">
        <w:tab/>
        <w:t xml:space="preserve">Države </w:t>
      </w:r>
      <w:proofErr w:type="spellStart"/>
      <w:r w:rsidRPr="00A75F74">
        <w:t>ugovornice</w:t>
      </w:r>
      <w:proofErr w:type="spellEnd"/>
      <w:r w:rsidRPr="00A75F74">
        <w:t xml:space="preserve"> treba da uzmu u obzir promenljivi položaj dece i njihovo</w:t>
      </w:r>
      <w:r w:rsidR="006574EC">
        <w:t>g</w:t>
      </w:r>
      <w:r w:rsidRPr="00A75F74">
        <w:t xml:space="preserve"> delovanj</w:t>
      </w:r>
      <w:r w:rsidR="006574EC">
        <w:t>a</w:t>
      </w:r>
      <w:r w:rsidRPr="00A75F74">
        <w:t xml:space="preserve"> u savremenom svetu, kompetenciju i razumevanje</w:t>
      </w:r>
      <w:r w:rsidR="006574EC">
        <w:t xml:space="preserve"> dece,</w:t>
      </w:r>
      <w:r w:rsidRPr="00A75F74">
        <w:t xml:space="preserve"> koj</w:t>
      </w:r>
      <w:r w:rsidR="006574EC">
        <w:t>a</w:t>
      </w:r>
      <w:r w:rsidRPr="00A75F74">
        <w:t xml:space="preserve"> nejednako razvijaju </w:t>
      </w:r>
      <w:r w:rsidR="006574EC">
        <w:t>svoje</w:t>
      </w:r>
      <w:r w:rsidRPr="00A75F74">
        <w:t xml:space="preserve"> veštin</w:t>
      </w:r>
      <w:r w:rsidR="006574EC">
        <w:t>e</w:t>
      </w:r>
      <w:r w:rsidRPr="00A75F74">
        <w:t xml:space="preserve"> i aktivnosti, </w:t>
      </w:r>
      <w:r w:rsidR="006574EC">
        <w:t xml:space="preserve">kao </w:t>
      </w:r>
      <w:r w:rsidRPr="00A75F74">
        <w:t xml:space="preserve">i raznoliku prirodu rizika. Ta razmatranja moraju biti </w:t>
      </w:r>
      <w:r w:rsidR="006574EC">
        <w:t>u ravnoteži</w:t>
      </w:r>
      <w:r w:rsidRPr="00A75F74">
        <w:t xml:space="preserve"> sa </w:t>
      </w:r>
      <w:r w:rsidR="006574EC">
        <w:t>značajem</w:t>
      </w:r>
      <w:r w:rsidRPr="00A75F74">
        <w:t xml:space="preserve"> ostvarivanja njihovih prava u podržanim okruženjima i </w:t>
      </w:r>
      <w:r w:rsidR="006574EC">
        <w:t>opsegom</w:t>
      </w:r>
      <w:r w:rsidRPr="00A75F74">
        <w:t xml:space="preserve"> pojedinačnih iskustava i okolnosti.</w:t>
      </w:r>
      <w:r w:rsidR="006574EC">
        <w:rPr>
          <w:rStyle w:val="FootnoteReference"/>
        </w:rPr>
        <w:footnoteReference w:id="10"/>
      </w:r>
      <w:r w:rsidRPr="00A75F74">
        <w:t xml:space="preserve"> Države </w:t>
      </w:r>
      <w:proofErr w:type="spellStart"/>
      <w:r w:rsidR="00635AE9" w:rsidRPr="00A75F74">
        <w:t>ugovornice</w:t>
      </w:r>
      <w:proofErr w:type="spellEnd"/>
      <w:r w:rsidR="00635AE9" w:rsidRPr="00A75F74">
        <w:t xml:space="preserve"> </w:t>
      </w:r>
      <w:r w:rsidRPr="00A75F74">
        <w:t xml:space="preserve">treba da osiguraju da </w:t>
      </w:r>
      <w:proofErr w:type="spellStart"/>
      <w:r w:rsidRPr="00A75F74">
        <w:t>pružaoci</w:t>
      </w:r>
      <w:proofErr w:type="spellEnd"/>
      <w:r w:rsidRPr="00A75F74">
        <w:t xml:space="preserve"> digitalnih usluga nude usluge koje </w:t>
      </w:r>
      <w:r w:rsidR="006574EC" w:rsidRPr="00A75F74">
        <w:t>odgovaraju</w:t>
      </w:r>
      <w:r w:rsidR="00D8341E">
        <w:t xml:space="preserve"> kapacitetima dece, koji se</w:t>
      </w:r>
      <w:r w:rsidRPr="00A75F74">
        <w:t xml:space="preserve"> razv</w:t>
      </w:r>
      <w:r w:rsidR="00D8341E">
        <w:t>ijaju</w:t>
      </w:r>
      <w:r w:rsidRPr="00A75F74">
        <w:t>.</w:t>
      </w:r>
    </w:p>
    <w:p w:rsidR="00257E2E" w:rsidRPr="00A75F74" w:rsidRDefault="00257E2E" w:rsidP="00257E2E">
      <w:pPr>
        <w:pStyle w:val="SingleTxtG"/>
      </w:pPr>
      <w:r w:rsidRPr="00A75F74">
        <w:t>21.</w:t>
      </w:r>
      <w:r w:rsidRPr="00A75F74">
        <w:tab/>
        <w:t xml:space="preserve">U skladu sa </w:t>
      </w:r>
      <w:r w:rsidR="00D8341E" w:rsidRPr="00A75F74">
        <w:t>dužnošću</w:t>
      </w:r>
      <w:r w:rsidRPr="00A75F74">
        <w:t xml:space="preserve"> država da pružaju </w:t>
      </w:r>
      <w:proofErr w:type="spellStart"/>
      <w:r w:rsidR="00D8341E" w:rsidRPr="00A75F74">
        <w:t>odgovarajućupomoć</w:t>
      </w:r>
      <w:proofErr w:type="spellEnd"/>
      <w:r w:rsidRPr="00A75F74">
        <w:t xml:space="preserve">́ roditeljima i </w:t>
      </w:r>
      <w:r w:rsidR="00864FFA">
        <w:t>staraocima</w:t>
      </w:r>
      <w:r w:rsidRPr="00A75F74">
        <w:t xml:space="preserve"> u izvršavanju njihovih obaveza</w:t>
      </w:r>
      <w:r w:rsidR="00D8341E">
        <w:t xml:space="preserve"> u odgajanju dece</w:t>
      </w:r>
      <w:r w:rsidRPr="00A75F74">
        <w:t xml:space="preserve">, </w:t>
      </w:r>
      <w:r w:rsidR="00D8341E">
        <w:t>d</w:t>
      </w:r>
      <w:r w:rsidR="00E72F20" w:rsidRPr="00A75F74">
        <w:t xml:space="preserve">ržave </w:t>
      </w:r>
      <w:proofErr w:type="spellStart"/>
      <w:r w:rsidR="00E72F20" w:rsidRPr="00A75F74">
        <w:t>ugovornice</w:t>
      </w:r>
      <w:proofErr w:type="spellEnd"/>
      <w:r w:rsidRPr="00A75F74">
        <w:t xml:space="preserve"> treba da </w:t>
      </w:r>
      <w:r w:rsidR="00D8341E">
        <w:t>podižu</w:t>
      </w:r>
      <w:r w:rsidRPr="00A75F74">
        <w:t xml:space="preserve"> svest roditelja i </w:t>
      </w:r>
      <w:proofErr w:type="spellStart"/>
      <w:r w:rsidR="00864FFA">
        <w:t>starlaca</w:t>
      </w:r>
      <w:proofErr w:type="spellEnd"/>
      <w:r w:rsidRPr="00A75F74">
        <w:t xml:space="preserve"> o potrebi poštovanja dečje autonomije, kapaciteta i privatnosti</w:t>
      </w:r>
      <w:r w:rsidR="00D8341E">
        <w:t>, koje se razvijaju</w:t>
      </w:r>
      <w:r w:rsidRPr="00A75F74">
        <w:t xml:space="preserve">. </w:t>
      </w:r>
      <w:r w:rsidR="00D8341E">
        <w:t>One bi t</w:t>
      </w:r>
      <w:r w:rsidRPr="00A75F74">
        <w:t>rebal</w:t>
      </w:r>
      <w:r w:rsidR="00D8341E">
        <w:t xml:space="preserve">o da podrže </w:t>
      </w:r>
      <w:r w:rsidRPr="00A75F74">
        <w:t xml:space="preserve">roditelje i </w:t>
      </w:r>
      <w:r w:rsidR="00F16666">
        <w:t>staraoce</w:t>
      </w:r>
      <w:r w:rsidRPr="00A75F74">
        <w:t xml:space="preserve"> u sticanju digitalne pismenosti</w:t>
      </w:r>
      <w:r w:rsidR="00D8341E">
        <w:t xml:space="preserve">, kao </w:t>
      </w:r>
      <w:r w:rsidRPr="00A75F74">
        <w:t xml:space="preserve">i svesti o rizicima </w:t>
      </w:r>
      <w:r w:rsidR="00D8341E">
        <w:t>po</w:t>
      </w:r>
      <w:r w:rsidRPr="00A75F74">
        <w:t xml:space="preserve"> decu</w:t>
      </w:r>
      <w:r w:rsidR="00D8341E">
        <w:t>,</w:t>
      </w:r>
      <w:r w:rsidRPr="00A75F74">
        <w:t xml:space="preserve"> kako bi im </w:t>
      </w:r>
      <w:r w:rsidR="00D8341E">
        <w:t>omogućili</w:t>
      </w:r>
      <w:r w:rsidRPr="00A75F74">
        <w:t xml:space="preserve"> da pomognu </w:t>
      </w:r>
      <w:r w:rsidRPr="00A75F74">
        <w:lastRenderedPageBreak/>
        <w:t xml:space="preserve">deci u ostvarivanju njihovih </w:t>
      </w:r>
      <w:proofErr w:type="spellStart"/>
      <w:r w:rsidRPr="00A75F74">
        <w:t>pravau</w:t>
      </w:r>
      <w:proofErr w:type="spellEnd"/>
      <w:r w:rsidRPr="00A75F74">
        <w:t xml:space="preserve"> vezi sa digitalnim okruženjem</w:t>
      </w:r>
      <w:r w:rsidR="00D8341E" w:rsidRPr="00A75F74">
        <w:t xml:space="preserve">, uključujući </w:t>
      </w:r>
      <w:r w:rsidR="00D8341E">
        <w:t xml:space="preserve">pravo na </w:t>
      </w:r>
      <w:r w:rsidR="00D8341E" w:rsidRPr="00A75F74">
        <w:t>zaštitu</w:t>
      </w:r>
      <w:r w:rsidR="00D8341E">
        <w:t>.</w:t>
      </w:r>
    </w:p>
    <w:p w:rsidR="00D57CCC" w:rsidRPr="00A75F74" w:rsidRDefault="00D57CCC" w:rsidP="00D57CCC">
      <w:pPr>
        <w:pStyle w:val="HChG"/>
      </w:pPr>
      <w:r w:rsidRPr="00A75F74">
        <w:rPr>
          <w:rFonts w:eastAsia="SimSun"/>
          <w:b w:val="0"/>
          <w:sz w:val="20"/>
          <w:lang w:eastAsia="zh-CN"/>
        </w:rPr>
        <w:tab/>
      </w:r>
      <w:r w:rsidRPr="00A75F74">
        <w:t>V.</w:t>
      </w:r>
      <w:r w:rsidRPr="00A75F74">
        <w:tab/>
      </w:r>
      <w:r w:rsidR="00716487" w:rsidRPr="00A75F74">
        <w:t xml:space="preserve">Opšte mere primene Država </w:t>
      </w:r>
      <w:proofErr w:type="spellStart"/>
      <w:r w:rsidR="00716487" w:rsidRPr="00A75F74">
        <w:t>ugovornica</w:t>
      </w:r>
      <w:proofErr w:type="spellEnd"/>
    </w:p>
    <w:p w:rsidR="00D57CCC" w:rsidRPr="00A75F74" w:rsidRDefault="00D57CCC" w:rsidP="00D57CCC">
      <w:pPr>
        <w:pStyle w:val="SingleTxtG"/>
      </w:pPr>
      <w:r w:rsidRPr="00A75F74">
        <w:t>22.</w:t>
      </w:r>
      <w:r w:rsidRPr="00A75F74">
        <w:tab/>
      </w:r>
      <w:r w:rsidR="00716487" w:rsidRPr="00A75F74">
        <w:t xml:space="preserve">Prilike za ostvarivanje prava </w:t>
      </w:r>
      <w:proofErr w:type="spellStart"/>
      <w:r w:rsidR="00D8341E">
        <w:t>deteta</w:t>
      </w:r>
      <w:r w:rsidR="00716487" w:rsidRPr="00A75F74">
        <w:t>i</w:t>
      </w:r>
      <w:proofErr w:type="spellEnd"/>
      <w:r w:rsidR="00716487" w:rsidRPr="00A75F74">
        <w:t xml:space="preserve"> njihovu zaštitu u digitalnom okruženju zahtevaju širok spektar zakonodavnih, administrativnih i drugih mera, </w:t>
      </w:r>
      <w:r w:rsidR="00D8341E" w:rsidRPr="00A75F74">
        <w:t>uključujući</w:t>
      </w:r>
      <w:r w:rsidR="00716487" w:rsidRPr="00A75F74">
        <w:t xml:space="preserve"> mere predostrožnosti.</w:t>
      </w:r>
    </w:p>
    <w:p w:rsidR="00D57CCC" w:rsidRPr="00A75F74" w:rsidRDefault="00D57CCC" w:rsidP="00D57CCC">
      <w:pPr>
        <w:pStyle w:val="H1G"/>
      </w:pPr>
      <w:bookmarkStart w:id="2" w:name="_Toc47967795"/>
      <w:r w:rsidRPr="00A75F74">
        <w:tab/>
        <w:t>A.</w:t>
      </w:r>
      <w:r w:rsidRPr="00A75F74">
        <w:tab/>
      </w:r>
      <w:bookmarkEnd w:id="2"/>
      <w:r w:rsidR="00A34E4F" w:rsidRPr="00A75F74">
        <w:t>Zakonodavstvo</w:t>
      </w:r>
    </w:p>
    <w:p w:rsidR="002A0A2E" w:rsidRPr="00A75F74" w:rsidRDefault="00D57CCC" w:rsidP="002C2A20">
      <w:pPr>
        <w:pStyle w:val="SingleTxtG"/>
      </w:pPr>
      <w:r w:rsidRPr="00A75F74">
        <w:t>23.</w:t>
      </w:r>
      <w:r w:rsidRPr="00A75F74">
        <w:tab/>
      </w:r>
      <w:r w:rsidR="00A34E4F" w:rsidRPr="00A75F74">
        <w:t xml:space="preserve">Države </w:t>
      </w:r>
      <w:proofErr w:type="spellStart"/>
      <w:r w:rsidR="001C6D23" w:rsidRPr="00A75F74">
        <w:t>ugovornice</w:t>
      </w:r>
      <w:proofErr w:type="spellEnd"/>
      <w:r w:rsidR="001C6D23" w:rsidRPr="00A75F74">
        <w:t xml:space="preserve"> trebalo</w:t>
      </w:r>
      <w:r w:rsidR="00A34E4F" w:rsidRPr="00A75F74">
        <w:t xml:space="preserve"> bi da pregledaju, usvoje i ažuriraju nacionalno zakonodavstvo u skladu sa međunarodnim standardima o ljudskim pravima, kako bi se osiguralo da je digitalno okruženje kompatibilno sa pravima utvrđenim u Konvenciji i njenim </w:t>
      </w:r>
      <w:r w:rsidR="006A20DF">
        <w:t>opcionim</w:t>
      </w:r>
      <w:r w:rsidR="00A34E4F" w:rsidRPr="00A75F74">
        <w:t xml:space="preserve"> protokolima. Zakonodavstvo treba da ostane relevantno u kontekstu tehnološkog napretka i novih praksi. </w:t>
      </w:r>
      <w:r w:rsidR="006A20DF" w:rsidRPr="00A75F74">
        <w:t xml:space="preserve">Države </w:t>
      </w:r>
      <w:proofErr w:type="spellStart"/>
      <w:r w:rsidR="006A20DF" w:rsidRPr="00A75F74">
        <w:t>ugovornice</w:t>
      </w:r>
      <w:proofErr w:type="spellEnd"/>
      <w:r w:rsidR="006A20DF" w:rsidRPr="00A75F74">
        <w:t xml:space="preserve"> </w:t>
      </w:r>
      <w:r w:rsidR="00A34E4F" w:rsidRPr="00A75F74">
        <w:t xml:space="preserve">bi trebalo da </w:t>
      </w:r>
      <w:r w:rsidR="006A20DF">
        <w:t>uvedu obavezu</w:t>
      </w:r>
      <w:r w:rsidR="00A34E4F" w:rsidRPr="00A75F74">
        <w:t xml:space="preserve"> upotreb</w:t>
      </w:r>
      <w:r w:rsidR="006A20DF">
        <w:t>e</w:t>
      </w:r>
      <w:r w:rsidR="00A34E4F" w:rsidRPr="00A75F74">
        <w:t xml:space="preserve"> procen</w:t>
      </w:r>
      <w:r w:rsidR="006A20DF">
        <w:t>e</w:t>
      </w:r>
      <w:r w:rsidR="00A34E4F" w:rsidRPr="00A75F74">
        <w:t xml:space="preserve"> uticaja na prava </w:t>
      </w:r>
      <w:r w:rsidR="006A20DF">
        <w:t xml:space="preserve">deteta </w:t>
      </w:r>
      <w:r w:rsidR="00A34E4F" w:rsidRPr="00A75F74">
        <w:t xml:space="preserve">radi ugrađivanja </w:t>
      </w:r>
      <w:r w:rsidR="006A20DF">
        <w:t xml:space="preserve">ovih </w:t>
      </w:r>
      <w:r w:rsidR="00A34E4F" w:rsidRPr="00A75F74">
        <w:t>prava u zakonodavstvo, budžetska izdvajanja i druge administrativne odluke koje se odnose na digitalno okruženje</w:t>
      </w:r>
      <w:r w:rsidR="006A20DF">
        <w:t xml:space="preserve">, kao </w:t>
      </w:r>
      <w:r w:rsidR="00A34E4F" w:rsidRPr="00A75F74">
        <w:t xml:space="preserve">i da promovišu njihovu upotrebu među javnim telima i </w:t>
      </w:r>
      <w:r w:rsidR="006A20DF" w:rsidRPr="00A75F74">
        <w:t>preduzećima</w:t>
      </w:r>
      <w:r w:rsidR="00A34E4F" w:rsidRPr="00A75F74">
        <w:t xml:space="preserve"> koja se odnose na digitalno okruženje.</w:t>
      </w:r>
      <w:r w:rsidR="006A20DF">
        <w:rPr>
          <w:rStyle w:val="FootnoteReference"/>
        </w:rPr>
        <w:footnoteReference w:id="11"/>
      </w:r>
    </w:p>
    <w:p w:rsidR="00B522B0" w:rsidRPr="00A75F74" w:rsidRDefault="00B522B0" w:rsidP="00B522B0">
      <w:pPr>
        <w:pStyle w:val="H1G"/>
      </w:pPr>
      <w:r w:rsidRPr="00A75F74">
        <w:tab/>
        <w:t>B.</w:t>
      </w:r>
      <w:r w:rsidRPr="00A75F74">
        <w:tab/>
      </w:r>
      <w:r w:rsidR="0024205C" w:rsidRPr="00A75F74">
        <w:t>Sveobuhvatna politika i strategija</w:t>
      </w:r>
    </w:p>
    <w:p w:rsidR="00B522B0" w:rsidRPr="00A75F74" w:rsidRDefault="00B522B0" w:rsidP="002C2A20">
      <w:pPr>
        <w:pStyle w:val="SingleTxtG"/>
      </w:pPr>
      <w:r w:rsidRPr="00A75F74">
        <w:t>24.</w:t>
      </w:r>
      <w:r w:rsidRPr="00A75F74">
        <w:tab/>
      </w:r>
      <w:r w:rsidR="0024205C" w:rsidRPr="00A75F74">
        <w:t xml:space="preserve">Države </w:t>
      </w:r>
      <w:proofErr w:type="spellStart"/>
      <w:r w:rsidR="00BD3F16" w:rsidRPr="00A75F74">
        <w:t>ugovornice</w:t>
      </w:r>
      <w:proofErr w:type="spellEnd"/>
      <w:r w:rsidR="00BD3F16" w:rsidRPr="00A75F74">
        <w:t xml:space="preserve"> </w:t>
      </w:r>
      <w:r w:rsidR="0024205C" w:rsidRPr="00A75F74">
        <w:t xml:space="preserve">treba da osiguraju da se nacionalne politike koje se odnose na prava </w:t>
      </w:r>
      <w:r w:rsidR="006A20DF">
        <w:t xml:space="preserve">deteta </w:t>
      </w:r>
      <w:r w:rsidR="0024205C" w:rsidRPr="00A75F74">
        <w:t xml:space="preserve">posebno bave digitalnim okruženjem i da shodno tome primenjuju propise, industrijske kodekse, standarde dizajna i akcione planove, što sve treba redovno ocenjivati i ažurirati. Takve nacionalne politike treba da imaju za cilj pružanje deci </w:t>
      </w:r>
      <w:r w:rsidR="004D7B18" w:rsidRPr="00A75F74">
        <w:t>mogućnosti</w:t>
      </w:r>
      <w:r w:rsidR="0024205C" w:rsidRPr="00A75F74">
        <w:t xml:space="preserve"> da imaju koristi od angažovanja u digitalnom okruženju i obezbeđivanje njihovog sigurnog pristupa </w:t>
      </w:r>
      <w:r w:rsidR="004D7B18">
        <w:t>ovom okruženju</w:t>
      </w:r>
      <w:r w:rsidR="0024205C" w:rsidRPr="00A75F74">
        <w:t>.</w:t>
      </w:r>
    </w:p>
    <w:p w:rsidR="00BD3F16" w:rsidRPr="00A75F74" w:rsidRDefault="00BD3F16" w:rsidP="00BD3F16">
      <w:pPr>
        <w:pStyle w:val="SingleTxtG"/>
      </w:pPr>
      <w:r w:rsidRPr="00A75F74">
        <w:t>25.</w:t>
      </w:r>
      <w:r w:rsidRPr="00A75F74">
        <w:tab/>
      </w:r>
      <w:r w:rsidR="00AC66EA" w:rsidRPr="00A75F74">
        <w:t xml:space="preserve">Zaštita dece na mreži treba da bude integrisana u nacionalne politike zaštite dece. Države </w:t>
      </w:r>
      <w:proofErr w:type="spellStart"/>
      <w:r w:rsidR="00AC66EA" w:rsidRPr="00A75F74">
        <w:t>ugovornice</w:t>
      </w:r>
      <w:proofErr w:type="spellEnd"/>
      <w:r w:rsidR="00AC66EA" w:rsidRPr="00A75F74">
        <w:t xml:space="preserve"> treba da primene mere koje štite decu od rizika, </w:t>
      </w:r>
      <w:proofErr w:type="spellStart"/>
      <w:r w:rsidR="004D7B18" w:rsidRPr="00A75F74">
        <w:t>uključujući</w:t>
      </w:r>
      <w:r w:rsidR="004D7B18">
        <w:t>sajb</w:t>
      </w:r>
      <w:r w:rsidR="00AC66EA" w:rsidRPr="00A75F74">
        <w:t>er</w:t>
      </w:r>
      <w:proofErr w:type="spellEnd"/>
      <w:r w:rsidR="004D7B18">
        <w:t>-</w:t>
      </w:r>
      <w:r w:rsidR="00AC66EA" w:rsidRPr="00A75F74">
        <w:t>napad</w:t>
      </w:r>
      <w:r w:rsidR="004D7B18">
        <w:t>e</w:t>
      </w:r>
      <w:r w:rsidR="00AC66EA" w:rsidRPr="00A75F74">
        <w:t xml:space="preserve">, kao i seksualno </w:t>
      </w:r>
      <w:r w:rsidR="004D7B18" w:rsidRPr="00A75F74">
        <w:t>iskorišćavanje</w:t>
      </w:r>
      <w:r w:rsidR="00AC66EA" w:rsidRPr="00A75F74">
        <w:t xml:space="preserve"> i </w:t>
      </w:r>
      <w:proofErr w:type="spellStart"/>
      <w:r w:rsidR="0041775C">
        <w:t>zloupotrebu</w:t>
      </w:r>
      <w:r w:rsidR="00AC66EA" w:rsidRPr="00A75F74">
        <w:t>dece</w:t>
      </w:r>
      <w:proofErr w:type="spellEnd"/>
      <w:r w:rsidR="00AC66EA" w:rsidRPr="00A75F74">
        <w:t xml:space="preserve"> </w:t>
      </w:r>
      <w:r w:rsidR="004D7B18">
        <w:t>pomoću</w:t>
      </w:r>
      <w:r w:rsidR="004D7B18" w:rsidRPr="00A75F74">
        <w:t xml:space="preserve"> digitaln</w:t>
      </w:r>
      <w:r w:rsidR="004D7B18">
        <w:t>e</w:t>
      </w:r>
      <w:r w:rsidR="004D7B18" w:rsidRPr="00A75F74">
        <w:t xml:space="preserve"> tehnologij</w:t>
      </w:r>
      <w:r w:rsidR="004D7B18">
        <w:t xml:space="preserve">e i </w:t>
      </w:r>
      <w:proofErr w:type="spellStart"/>
      <w:r w:rsidR="004D7B18">
        <w:t>na</w:t>
      </w:r>
      <w:r w:rsidR="00AC66EA" w:rsidRPr="00A75F74">
        <w:t>mreži</w:t>
      </w:r>
      <w:proofErr w:type="spellEnd"/>
      <w:r w:rsidR="00AC66EA" w:rsidRPr="00A75F74">
        <w:t>, da obezbede istragu takvih zločina</w:t>
      </w:r>
      <w:r w:rsidR="004D7B18">
        <w:t>, kao</w:t>
      </w:r>
      <w:r w:rsidR="00AC66EA" w:rsidRPr="00A75F74">
        <w:t xml:space="preserve"> i </w:t>
      </w:r>
      <w:r w:rsidR="00AA0A2E">
        <w:t>obeštećenje</w:t>
      </w:r>
      <w:r w:rsidR="00AC66EA" w:rsidRPr="00A75F74">
        <w:t xml:space="preserve"> i podršku deci koja su žrtve. Takođe bi trebalo da se pozabave potrebama dece u nepovoljnim ili ranjivim situacijama, </w:t>
      </w:r>
      <w:r w:rsidR="004D7B18" w:rsidRPr="00A75F74">
        <w:t>uključujući</w:t>
      </w:r>
      <w:r w:rsidR="00AC66EA" w:rsidRPr="00A75F74">
        <w:t xml:space="preserve"> pružanje informacija prilagođenih deci koje se, kada je to potrebno, prevode na relevantne jezike manjina.</w:t>
      </w:r>
    </w:p>
    <w:p w:rsidR="00BD3F16" w:rsidRPr="00A75F74" w:rsidRDefault="00BD3F16" w:rsidP="00BD3F16">
      <w:pPr>
        <w:pStyle w:val="SingleTxtG"/>
      </w:pPr>
      <w:r w:rsidRPr="00A75F74">
        <w:t>26.</w:t>
      </w:r>
      <w:r w:rsidRPr="00A75F74">
        <w:tab/>
      </w:r>
      <w:r w:rsidR="0053400B" w:rsidRPr="00A75F74">
        <w:t xml:space="preserve">Države </w:t>
      </w:r>
      <w:proofErr w:type="spellStart"/>
      <w:r w:rsidR="0053400B" w:rsidRPr="00A75F74">
        <w:t>ugovornice</w:t>
      </w:r>
      <w:proofErr w:type="spellEnd"/>
      <w:r w:rsidR="0053400B" w:rsidRPr="00A75F74">
        <w:t xml:space="preserve"> treba da obezbede funkcionisanje efikasnih mehanizama zaštite dece na mreži</w:t>
      </w:r>
      <w:r w:rsidR="004D7B18">
        <w:t>, kao</w:t>
      </w:r>
      <w:r w:rsidR="0053400B" w:rsidRPr="00A75F74">
        <w:t xml:space="preserve"> i </w:t>
      </w:r>
      <w:proofErr w:type="spellStart"/>
      <w:r w:rsidR="0053400B" w:rsidRPr="00A75F74">
        <w:t>politike</w:t>
      </w:r>
      <w:r w:rsidR="004D7B18" w:rsidRPr="00A75F74">
        <w:t>zašti</w:t>
      </w:r>
      <w:r w:rsidR="004D7B18">
        <w:t>te</w:t>
      </w:r>
      <w:proofErr w:type="spellEnd"/>
      <w:r w:rsidR="0053400B" w:rsidRPr="00A75F74">
        <w:t xml:space="preserve">, istovremeno </w:t>
      </w:r>
      <w:r w:rsidR="004D7B18" w:rsidRPr="00A75F74">
        <w:t>poštujući</w:t>
      </w:r>
      <w:r w:rsidR="0053400B" w:rsidRPr="00A75F74">
        <w:t xml:space="preserve"> i druga prava deteta, u svim sredinama u kojima deca imaju pristup digitalnom okruženju, koje uključuje dom, obrazovne ustanove, </w:t>
      </w:r>
      <w:r w:rsidR="004D7B18">
        <w:t>sajber-</w:t>
      </w:r>
      <w:r w:rsidR="0053400B" w:rsidRPr="00A75F74">
        <w:t xml:space="preserve">kafe, omladinske centre, </w:t>
      </w:r>
      <w:proofErr w:type="spellStart"/>
      <w:r w:rsidR="0053400B" w:rsidRPr="00A75F74">
        <w:t>biblioteke</w:t>
      </w:r>
      <w:r w:rsidR="004D7B18">
        <w:t>,kao</w:t>
      </w:r>
      <w:proofErr w:type="spellEnd"/>
      <w:r w:rsidR="004D7B18">
        <w:t xml:space="preserve"> </w:t>
      </w:r>
      <w:r w:rsidR="0053400B" w:rsidRPr="00A75F74">
        <w:t xml:space="preserve">i </w:t>
      </w:r>
      <w:r w:rsidR="004D7B18" w:rsidRPr="00A75F74">
        <w:t>zdravstv</w:t>
      </w:r>
      <w:r w:rsidR="004D7B18">
        <w:t>ene ustanove</w:t>
      </w:r>
      <w:r w:rsidR="0053400B" w:rsidRPr="00A75F74">
        <w:t xml:space="preserve"> i </w:t>
      </w:r>
      <w:r w:rsidR="004D7B18">
        <w:t>okruženja</w:t>
      </w:r>
      <w:r w:rsidR="0053400B" w:rsidRPr="00A75F74">
        <w:t xml:space="preserve"> alternativne nege.</w:t>
      </w:r>
    </w:p>
    <w:p w:rsidR="00BD3F16" w:rsidRPr="00A75F74" w:rsidRDefault="00BD3F16" w:rsidP="00BD3F16">
      <w:pPr>
        <w:pStyle w:val="H1G"/>
      </w:pPr>
      <w:bookmarkStart w:id="3" w:name="_Toc47967797"/>
      <w:r w:rsidRPr="00A75F74">
        <w:tab/>
        <w:t>C.</w:t>
      </w:r>
      <w:r w:rsidRPr="00A75F74">
        <w:tab/>
      </w:r>
      <w:bookmarkEnd w:id="3"/>
      <w:r w:rsidR="009242E4" w:rsidRPr="00A75F74">
        <w:t>Koordinacija</w:t>
      </w:r>
    </w:p>
    <w:p w:rsidR="00BD3F16" w:rsidRPr="00A75F74" w:rsidRDefault="00BD3F16" w:rsidP="002C2A20">
      <w:pPr>
        <w:pStyle w:val="SingleTxtG"/>
      </w:pPr>
      <w:r w:rsidRPr="00A75F74">
        <w:t>27.</w:t>
      </w:r>
      <w:r w:rsidRPr="00A75F74">
        <w:tab/>
      </w:r>
      <w:r w:rsidR="009242E4" w:rsidRPr="00A75F74">
        <w:t xml:space="preserve">Da bi obuhvatile unakrsne posledice digitalnog okruženja po dečja prava, </w:t>
      </w:r>
      <w:r w:rsidR="004D7B18">
        <w:t>d</w:t>
      </w:r>
      <w:r w:rsidR="008C17F3" w:rsidRPr="00A75F74">
        <w:t xml:space="preserve">ržave </w:t>
      </w:r>
      <w:proofErr w:type="spellStart"/>
      <w:r w:rsidR="008C17F3" w:rsidRPr="00A75F74">
        <w:t>ugovornice</w:t>
      </w:r>
      <w:proofErr w:type="spellEnd"/>
      <w:r w:rsidR="009242E4" w:rsidRPr="00A75F74">
        <w:t xml:space="preserve"> treba da identifikuju vladino telo koje je zaduženo da koordinira politike, smernice i programe koji se odnose na </w:t>
      </w:r>
      <w:r w:rsidR="004D7B18">
        <w:t xml:space="preserve">prava deteta, </w:t>
      </w:r>
      <w:r w:rsidR="009242E4" w:rsidRPr="00A75F74">
        <w:t xml:space="preserve">između centralnih vladinih odeljenja </w:t>
      </w:r>
      <w:r w:rsidR="009242E4" w:rsidRPr="00A75F74">
        <w:lastRenderedPageBreak/>
        <w:t>i različitih nivoa vlasti.</w:t>
      </w:r>
      <w:r w:rsidR="004D7B18">
        <w:rPr>
          <w:rStyle w:val="FootnoteReference"/>
        </w:rPr>
        <w:footnoteReference w:id="12"/>
      </w:r>
      <w:r w:rsidR="009242E4" w:rsidRPr="00A75F74">
        <w:t xml:space="preserve"> Takav nacionalni mehanizam za koordinaciju treba da se poveže sa školama i sektorom informacionih i komunikacionih tehnologija i da sarađuje sa </w:t>
      </w:r>
      <w:r w:rsidR="004D7B18" w:rsidRPr="00A75F74">
        <w:t>preduzećima</w:t>
      </w:r>
      <w:r w:rsidR="009242E4" w:rsidRPr="00A75F74">
        <w:t>, civilnim društvom, akademskom zajednicom i organizacijama</w:t>
      </w:r>
      <w:r w:rsidR="004D7B18">
        <w:t>,</w:t>
      </w:r>
      <w:r w:rsidR="009242E4" w:rsidRPr="00A75F74">
        <w:t xml:space="preserve"> radi ostvarivanja dečjih prava u odnosu na digitalno okruženje na </w:t>
      </w:r>
      <w:r w:rsidR="004D7B18" w:rsidRPr="00A75F74">
        <w:t>među</w:t>
      </w:r>
      <w:r w:rsidR="004D7B18">
        <w:t>-</w:t>
      </w:r>
      <w:r w:rsidR="004D7B18" w:rsidRPr="00A75F74">
        <w:t>sektorskom</w:t>
      </w:r>
      <w:r w:rsidR="009242E4" w:rsidRPr="00A75F74">
        <w:t>, nacionalnom, regionalnom i lokalnom nivou.</w:t>
      </w:r>
      <w:r w:rsidR="00345344">
        <w:rPr>
          <w:rStyle w:val="FootnoteReference"/>
        </w:rPr>
        <w:footnoteReference w:id="13"/>
      </w:r>
      <w:r w:rsidR="009242E4" w:rsidRPr="00A75F74">
        <w:t xml:space="preserve"> Prema potrebi, trebalo bi da se oslanja na tehnološku i drugu relevantnu ekspertizu unutar i izvan vlade i da bude nezavisno </w:t>
      </w:r>
      <w:proofErr w:type="spellStart"/>
      <w:r w:rsidR="009242E4" w:rsidRPr="00A75F74">
        <w:t>ocenjivan</w:t>
      </w:r>
      <w:r w:rsidR="00345344">
        <w:t>okada</w:t>
      </w:r>
      <w:proofErr w:type="spellEnd"/>
      <w:r w:rsidR="00345344">
        <w:t xml:space="preserve"> je u pitanju njegova</w:t>
      </w:r>
      <w:r w:rsidR="009242E4" w:rsidRPr="00A75F74">
        <w:t xml:space="preserve"> </w:t>
      </w:r>
      <w:proofErr w:type="spellStart"/>
      <w:r w:rsidR="009242E4" w:rsidRPr="00A75F74">
        <w:t>efikasnostu</w:t>
      </w:r>
      <w:proofErr w:type="spellEnd"/>
      <w:r w:rsidR="009242E4" w:rsidRPr="00A75F74">
        <w:t xml:space="preserve"> ispunjavanju </w:t>
      </w:r>
      <w:r w:rsidR="00345344">
        <w:t>njegovi</w:t>
      </w:r>
      <w:r w:rsidR="00345344" w:rsidRPr="00A75F74">
        <w:t>h</w:t>
      </w:r>
      <w:r w:rsidR="009242E4" w:rsidRPr="00A75F74">
        <w:t xml:space="preserve"> obaveza.</w:t>
      </w:r>
    </w:p>
    <w:p w:rsidR="00E45A8D" w:rsidRPr="00A75F74" w:rsidRDefault="00E45A8D" w:rsidP="00E45A8D">
      <w:pPr>
        <w:pStyle w:val="H1G"/>
      </w:pPr>
      <w:r w:rsidRPr="00A75F74">
        <w:tab/>
        <w:t>D.</w:t>
      </w:r>
      <w:r w:rsidRPr="00A75F74">
        <w:tab/>
        <w:t>Alokacija resursa</w:t>
      </w:r>
    </w:p>
    <w:p w:rsidR="00E45A8D" w:rsidRPr="00A75F74" w:rsidRDefault="00E45A8D" w:rsidP="00E45A8D">
      <w:pPr>
        <w:pStyle w:val="SingleTxtG"/>
      </w:pPr>
      <w:r w:rsidRPr="00A75F74">
        <w:t>28.</w:t>
      </w:r>
      <w:r w:rsidRPr="00A75F74">
        <w:tab/>
      </w:r>
      <w:r w:rsidR="00DF7975" w:rsidRPr="00A75F74">
        <w:t xml:space="preserve">Države </w:t>
      </w:r>
      <w:proofErr w:type="spellStart"/>
      <w:r w:rsidR="00DF7975" w:rsidRPr="00A75F74">
        <w:t>ugovornice</w:t>
      </w:r>
      <w:proofErr w:type="spellEnd"/>
      <w:r w:rsidR="00DF7975" w:rsidRPr="00A75F74">
        <w:t xml:space="preserve"> treba da mobilišu, </w:t>
      </w:r>
      <w:proofErr w:type="spellStart"/>
      <w:r w:rsidR="00DF7975" w:rsidRPr="00A75F74">
        <w:t>alociraju</w:t>
      </w:r>
      <w:proofErr w:type="spellEnd"/>
      <w:r w:rsidR="00DF7975" w:rsidRPr="00A75F74">
        <w:t xml:space="preserve"> i koriste javne resurse za sprovođenje zakonodavstva, politika i programa za potpuno ostvarivanje prava deteta u digitalnom okruženju</w:t>
      </w:r>
      <w:r w:rsidR="00345344">
        <w:t>,</w:t>
      </w:r>
      <w:r w:rsidR="00DF7975" w:rsidRPr="00A75F74">
        <w:t xml:space="preserve"> za poboljšanje digitalne inkluzije koja je potrebna za rešavanje sve </w:t>
      </w:r>
      <w:r w:rsidR="00345344" w:rsidRPr="00A75F74">
        <w:t>većeg</w:t>
      </w:r>
      <w:r w:rsidR="00DF7975" w:rsidRPr="00A75F74">
        <w:t xml:space="preserve"> uticaja digitalnog okruženja na život dece</w:t>
      </w:r>
      <w:r w:rsidR="00345344">
        <w:t>, kao</w:t>
      </w:r>
      <w:r w:rsidR="00DF7975" w:rsidRPr="00A75F74">
        <w:t xml:space="preserve"> i za promociju </w:t>
      </w:r>
      <w:r w:rsidR="00345344">
        <w:t>ravnopravnosti</w:t>
      </w:r>
      <w:r w:rsidR="00DF7975" w:rsidRPr="00A75F74">
        <w:t xml:space="preserve"> pristupa</w:t>
      </w:r>
      <w:r w:rsidR="00345344">
        <w:t xml:space="preserve">, </w:t>
      </w:r>
      <w:proofErr w:type="spellStart"/>
      <w:r w:rsidR="00345344">
        <w:t>odnosnopristupačnosti</w:t>
      </w:r>
      <w:proofErr w:type="spellEnd"/>
      <w:r w:rsidR="00345344">
        <w:t xml:space="preserve"> </w:t>
      </w:r>
      <w:r w:rsidR="00DF7975" w:rsidRPr="00A75F74">
        <w:t>uslug</w:t>
      </w:r>
      <w:r w:rsidR="00345344">
        <w:t>a</w:t>
      </w:r>
      <w:r w:rsidR="00DF7975" w:rsidRPr="00A75F74">
        <w:t xml:space="preserve"> i povez</w:t>
      </w:r>
      <w:r w:rsidR="00345344">
        <w:t>ivanja</w:t>
      </w:r>
      <w:r w:rsidR="00DF7975" w:rsidRPr="00A75F74">
        <w:t>.</w:t>
      </w:r>
      <w:r w:rsidR="00635167">
        <w:rPr>
          <w:rStyle w:val="FootnoteReference"/>
        </w:rPr>
        <w:footnoteReference w:id="14"/>
      </w:r>
    </w:p>
    <w:p w:rsidR="00E45A8D" w:rsidRPr="00A75F74" w:rsidRDefault="00E45A8D" w:rsidP="002C2A20">
      <w:pPr>
        <w:pStyle w:val="SingleTxtG"/>
      </w:pPr>
      <w:r w:rsidRPr="00A75F74">
        <w:t>29.</w:t>
      </w:r>
      <w:r w:rsidRPr="00A75F74">
        <w:tab/>
      </w:r>
      <w:r w:rsidR="00395ECE" w:rsidRPr="00A75F74">
        <w:t xml:space="preserve">Tamo gde resursi doprinose iz poslovnog sektora ili se dobijaju putem međunarodne saradnje, </w:t>
      </w:r>
      <w:r w:rsidR="00345344">
        <w:t>d</w:t>
      </w:r>
      <w:r w:rsidR="00395ECE" w:rsidRPr="00A75F74">
        <w:t xml:space="preserve">ržave </w:t>
      </w:r>
      <w:proofErr w:type="spellStart"/>
      <w:r w:rsidR="00395ECE" w:rsidRPr="00A75F74">
        <w:t>ugo</w:t>
      </w:r>
      <w:r w:rsidR="00C150C9" w:rsidRPr="00A75F74">
        <w:t>v</w:t>
      </w:r>
      <w:r w:rsidR="00395ECE" w:rsidRPr="00A75F74">
        <w:t>ornice</w:t>
      </w:r>
      <w:proofErr w:type="spellEnd"/>
      <w:r w:rsidR="00395ECE" w:rsidRPr="00A75F74">
        <w:t xml:space="preserve"> treba da obezbede da </w:t>
      </w:r>
      <w:r w:rsidR="00345344" w:rsidRPr="00A75F74">
        <w:t>treće</w:t>
      </w:r>
      <w:r w:rsidR="00395ECE" w:rsidRPr="00A75F74">
        <w:t xml:space="preserve"> strane ne ometaju i ne </w:t>
      </w:r>
      <w:r w:rsidR="00345344">
        <w:t xml:space="preserve">utiču </w:t>
      </w:r>
      <w:proofErr w:type="spellStart"/>
      <w:r w:rsidR="00345344">
        <w:t>negativnona</w:t>
      </w:r>
      <w:proofErr w:type="spellEnd"/>
      <w:r w:rsidR="00345344">
        <w:t xml:space="preserve"> </w:t>
      </w:r>
      <w:r w:rsidR="00395ECE" w:rsidRPr="00A75F74">
        <w:t>njihov vlastiti mandat, mobilizaciju prihoda, budžetska izdvajanja i rashode.</w:t>
      </w:r>
      <w:r w:rsidR="00635167">
        <w:rPr>
          <w:rStyle w:val="FootnoteReference"/>
        </w:rPr>
        <w:footnoteReference w:id="15"/>
      </w:r>
    </w:p>
    <w:p w:rsidR="00395ECE" w:rsidRPr="00A75F74" w:rsidRDefault="00395ECE" w:rsidP="00395ECE">
      <w:pPr>
        <w:pStyle w:val="H1G"/>
      </w:pPr>
      <w:r w:rsidRPr="00A75F74">
        <w:tab/>
        <w:t>E.</w:t>
      </w:r>
      <w:r w:rsidRPr="00A75F74">
        <w:tab/>
      </w:r>
      <w:r w:rsidR="002125A4" w:rsidRPr="00A75F74">
        <w:t>Prikupljanje podataka i istraživanje</w:t>
      </w:r>
    </w:p>
    <w:p w:rsidR="00395ECE" w:rsidRPr="00A75F74" w:rsidRDefault="00395ECE" w:rsidP="00395ECE">
      <w:pPr>
        <w:pStyle w:val="SingleTxtG"/>
      </w:pPr>
      <w:r w:rsidRPr="00A75F74">
        <w:t>30.</w:t>
      </w:r>
      <w:r w:rsidRPr="00A75F74">
        <w:tab/>
      </w:r>
      <w:r w:rsidR="002125A4" w:rsidRPr="00A75F74">
        <w:t xml:space="preserve">Redovno ažurirani podaci i istraživanja su presudni za razumevanje implikacija digitalnog okruženja za život dece, procenu njegovog uticaja na njihova prava i procenu efikasnosti državnih intervencija. Države </w:t>
      </w:r>
      <w:proofErr w:type="spellStart"/>
      <w:r w:rsidR="00C150C9" w:rsidRPr="00A75F74">
        <w:t>ugovornice</w:t>
      </w:r>
      <w:proofErr w:type="spellEnd"/>
      <w:r w:rsidR="00C150C9" w:rsidRPr="00A75F74">
        <w:t xml:space="preserve"> trebalo</w:t>
      </w:r>
      <w:r w:rsidR="002125A4" w:rsidRPr="00A75F74">
        <w:t xml:space="preserve"> bi </w:t>
      </w:r>
      <w:r w:rsidR="00C150C9" w:rsidRPr="00A75F74">
        <w:t>da osiguraju</w:t>
      </w:r>
      <w:r w:rsidR="002125A4" w:rsidRPr="00A75F74">
        <w:t xml:space="preserve"> prikupljanje čvrstih, sveobuhvatnih </w:t>
      </w:r>
      <w:proofErr w:type="spellStart"/>
      <w:r w:rsidR="002125A4" w:rsidRPr="00A75F74">
        <w:t>podataka</w:t>
      </w:r>
      <w:r w:rsidR="00345344">
        <w:t>,pomoću</w:t>
      </w:r>
      <w:proofErr w:type="spellEnd"/>
      <w:r w:rsidR="002125A4" w:rsidRPr="00A75F74">
        <w:t xml:space="preserve"> adekvatni</w:t>
      </w:r>
      <w:r w:rsidR="00345344">
        <w:t>h</w:t>
      </w:r>
      <w:r w:rsidR="002125A4" w:rsidRPr="00A75F74">
        <w:t xml:space="preserve"> resursa</w:t>
      </w:r>
      <w:r w:rsidR="00345344">
        <w:t>.</w:t>
      </w:r>
      <w:r w:rsidR="002125A4" w:rsidRPr="00A75F74">
        <w:t xml:space="preserve"> koji su razvrstani prema starosti, polu, invaliditetu, geografskom položaju, etničkom i nacionalnom poreklu i socijalno-ekonomskom </w:t>
      </w:r>
      <w:r w:rsidR="00345344">
        <w:t>stanju</w:t>
      </w:r>
      <w:r w:rsidR="002125A4" w:rsidRPr="00A75F74">
        <w:t xml:space="preserve">. Takvi podaci i istraživanja, </w:t>
      </w:r>
      <w:r w:rsidR="00345344" w:rsidRPr="00A75F74">
        <w:t>uključujući</w:t>
      </w:r>
      <w:r w:rsidR="002125A4" w:rsidRPr="00A75F74">
        <w:t xml:space="preserve"> istraživanja koja </w:t>
      </w:r>
      <w:r w:rsidR="00635167">
        <w:t xml:space="preserve">uključuju decu i </w:t>
      </w:r>
      <w:r w:rsidR="002125A4" w:rsidRPr="00A75F74">
        <w:t>sprovode i</w:t>
      </w:r>
      <w:r w:rsidR="00635167">
        <w:t>h</w:t>
      </w:r>
      <w:r w:rsidR="002125A4" w:rsidRPr="00A75F74">
        <w:t xml:space="preserve"> deca, treba da </w:t>
      </w:r>
      <w:r w:rsidR="00635167">
        <w:t xml:space="preserve">posluže kao </w:t>
      </w:r>
      <w:proofErr w:type="spellStart"/>
      <w:r w:rsidR="00635167">
        <w:t>osnovaza</w:t>
      </w:r>
      <w:proofErr w:type="spellEnd"/>
      <w:r w:rsidR="002125A4" w:rsidRPr="00A75F74">
        <w:t xml:space="preserve"> zakonodavstv</w:t>
      </w:r>
      <w:r w:rsidR="00635167">
        <w:t>o</w:t>
      </w:r>
      <w:r w:rsidR="002125A4" w:rsidRPr="00A75F74">
        <w:t>, politi</w:t>
      </w:r>
      <w:r w:rsidR="00635167">
        <w:t>ku</w:t>
      </w:r>
      <w:r w:rsidR="002125A4" w:rsidRPr="00A75F74">
        <w:t xml:space="preserve"> i praks</w:t>
      </w:r>
      <w:r w:rsidR="00635167">
        <w:t>u</w:t>
      </w:r>
      <w:r w:rsidR="002125A4" w:rsidRPr="00A75F74">
        <w:t xml:space="preserve"> i treba da budu dostupni u javnom domenu.</w:t>
      </w:r>
      <w:r w:rsidR="00635167">
        <w:rPr>
          <w:rStyle w:val="FootnoteReference"/>
        </w:rPr>
        <w:footnoteReference w:id="16"/>
      </w:r>
      <w:r w:rsidR="002125A4" w:rsidRPr="00A75F74">
        <w:t xml:space="preserve"> Prikupljanje podataka i istraživanje u vezi sa digitalnim životom dece mora poštovati njihovu privatnost i ispunjavati najviše etičke standarde.</w:t>
      </w:r>
    </w:p>
    <w:p w:rsidR="00395ECE" w:rsidRPr="00A75F74" w:rsidRDefault="00395ECE" w:rsidP="00395ECE">
      <w:pPr>
        <w:pStyle w:val="H1G"/>
      </w:pPr>
      <w:bookmarkStart w:id="4" w:name="_Toc47967800"/>
      <w:r w:rsidRPr="00A75F74">
        <w:tab/>
        <w:t>F.</w:t>
      </w:r>
      <w:r w:rsidRPr="00A75F74">
        <w:tab/>
      </w:r>
      <w:bookmarkEnd w:id="4"/>
      <w:proofErr w:type="spellStart"/>
      <w:r w:rsidR="00A67603" w:rsidRPr="00A75F74">
        <w:t>Nezavisn</w:t>
      </w:r>
      <w:r w:rsidR="002C7678">
        <w:t>inadzor</w:t>
      </w:r>
      <w:proofErr w:type="spellEnd"/>
    </w:p>
    <w:p w:rsidR="00395ECE" w:rsidRPr="00A75F74" w:rsidRDefault="00395ECE" w:rsidP="00395ECE">
      <w:pPr>
        <w:pStyle w:val="SingleTxtG"/>
      </w:pPr>
      <w:r w:rsidRPr="00A75F74">
        <w:t>31.</w:t>
      </w:r>
      <w:r w:rsidRPr="00A75F74">
        <w:tab/>
      </w:r>
      <w:r w:rsidR="00A67603" w:rsidRPr="00A75F74">
        <w:t xml:space="preserve">Države </w:t>
      </w:r>
      <w:proofErr w:type="spellStart"/>
      <w:r w:rsidR="007E019F" w:rsidRPr="00A75F74">
        <w:t>ugovornice</w:t>
      </w:r>
      <w:proofErr w:type="spellEnd"/>
      <w:r w:rsidR="007E019F" w:rsidRPr="00A75F74">
        <w:t xml:space="preserve"> </w:t>
      </w:r>
      <w:r w:rsidR="00A67603" w:rsidRPr="00A75F74">
        <w:t xml:space="preserve">treba da osiguraju da mandati nacionalnih institucija za ljudska prava i drugih </w:t>
      </w:r>
      <w:r w:rsidR="00635167" w:rsidRPr="00A75F74">
        <w:t>odgovarajućih</w:t>
      </w:r>
      <w:r w:rsidR="00A67603" w:rsidRPr="00A75F74">
        <w:t xml:space="preserve"> nezavisnih institucija pokrivaju prava deteta u digitalnom okruženju i da su u </w:t>
      </w:r>
      <w:r w:rsidR="00635167" w:rsidRPr="00A75F74">
        <w:t>mogućnosti</w:t>
      </w:r>
      <w:r w:rsidR="00A67603" w:rsidRPr="00A75F74">
        <w:t xml:space="preserve"> da primaju, istražuju i </w:t>
      </w:r>
      <w:r w:rsidR="00635167">
        <w:t>postupaju po</w:t>
      </w:r>
      <w:r w:rsidR="00A67603" w:rsidRPr="00A75F74">
        <w:t xml:space="preserve"> žalb</w:t>
      </w:r>
      <w:r w:rsidR="00635167">
        <w:t>ama</w:t>
      </w:r>
      <w:r w:rsidR="00A67603" w:rsidRPr="00A75F74">
        <w:t xml:space="preserve"> dece i njihovih predstavnika.</w:t>
      </w:r>
      <w:r w:rsidR="002C7678">
        <w:rPr>
          <w:rStyle w:val="FootnoteReference"/>
        </w:rPr>
        <w:footnoteReference w:id="17"/>
      </w:r>
      <w:r w:rsidR="00A67603" w:rsidRPr="00A75F74">
        <w:t xml:space="preserve"> Tamo gde postoje nezavisna nadzorna tela koja nadgledaju aktivnosti u vezi sa digitalnim okruženjem, nacionalne institucije za ljudska prava treba da blisko sarađuju sa takvim telima na efikasnom izvršavanju svog mandata u pogledu dečjih prava.</w:t>
      </w:r>
    </w:p>
    <w:p w:rsidR="00704186" w:rsidRPr="00A75F74" w:rsidRDefault="00704186" w:rsidP="00704186">
      <w:pPr>
        <w:pStyle w:val="H1G"/>
      </w:pPr>
      <w:r w:rsidRPr="00A75F74">
        <w:lastRenderedPageBreak/>
        <w:tab/>
        <w:t>G.</w:t>
      </w:r>
      <w:r w:rsidRPr="00A75F74">
        <w:tab/>
        <w:t>Širenje informacija, podizanje svesti i obuka</w:t>
      </w:r>
    </w:p>
    <w:p w:rsidR="0068368F" w:rsidRPr="00A75F74" w:rsidRDefault="00704186" w:rsidP="00704186">
      <w:pPr>
        <w:pStyle w:val="SingleTxtG"/>
      </w:pPr>
      <w:r w:rsidRPr="00A75F74">
        <w:t>32.</w:t>
      </w:r>
      <w:r w:rsidRPr="00A75F74">
        <w:tab/>
      </w:r>
      <w:r w:rsidR="0068368F" w:rsidRPr="00A75F74">
        <w:t xml:space="preserve">Države </w:t>
      </w:r>
      <w:proofErr w:type="spellStart"/>
      <w:r w:rsidR="0068368F" w:rsidRPr="00A75F74">
        <w:t>ugovornice</w:t>
      </w:r>
      <w:proofErr w:type="spellEnd"/>
      <w:r w:rsidR="0068368F" w:rsidRPr="00A75F74">
        <w:t xml:space="preserve"> trebalo bi da šire informacije i vode kampanje za podizanje svesti o pravima deteta u digitalnom okruženju, posebno se </w:t>
      </w:r>
      <w:r w:rsidR="00635167" w:rsidRPr="00A75F74">
        <w:t>fokusirajući</w:t>
      </w:r>
      <w:r w:rsidR="0068368F" w:rsidRPr="00A75F74">
        <w:t xml:space="preserve"> na one čije akcije imaju direktan ili in</w:t>
      </w:r>
      <w:r w:rsidR="00AF5FD8" w:rsidRPr="00A75F74">
        <w:t>direktan uticaj na decu. Trebalo</w:t>
      </w:r>
      <w:r w:rsidR="0068368F" w:rsidRPr="00A75F74">
        <w:t xml:space="preserve"> bi da </w:t>
      </w:r>
      <w:r w:rsidR="00635167">
        <w:t>obezbede</w:t>
      </w:r>
      <w:r w:rsidR="0068368F" w:rsidRPr="00A75F74">
        <w:t xml:space="preserve"> obrazovne programe za decu, roditelje i </w:t>
      </w:r>
      <w:r w:rsidR="00F16666">
        <w:t>staraoce</w:t>
      </w:r>
      <w:r w:rsidR="0068368F" w:rsidRPr="00A75F74">
        <w:t>, širu javnost i kreatore politika</w:t>
      </w:r>
      <w:r w:rsidR="00635167">
        <w:t>,</w:t>
      </w:r>
      <w:r w:rsidR="0068368F" w:rsidRPr="00A75F74">
        <w:t xml:space="preserve"> kako bi </w:t>
      </w:r>
      <w:r w:rsidR="00635167">
        <w:t>oni unapredili</w:t>
      </w:r>
      <w:r w:rsidR="0068368F" w:rsidRPr="00A75F74">
        <w:t xml:space="preserve"> svoje znanje o dečijim pravima u vezi sa </w:t>
      </w:r>
      <w:r w:rsidR="00635167" w:rsidRPr="00A75F74">
        <w:t>mogućnostima</w:t>
      </w:r>
      <w:r w:rsidR="0068368F" w:rsidRPr="00A75F74">
        <w:t xml:space="preserve"> i rizicima povezanim sa digitalnim proizvodima i uslugama. Takvi programi treba da uključuju informacije o tome kako deca mogu imati koristi od digitalnih proizvoda i usluga i razviti svoju digitalnu pismenost i veštine, kako zaštititi dečju privatnost i sprečiti </w:t>
      </w:r>
      <w:proofErr w:type="spellStart"/>
      <w:r w:rsidR="0068368F" w:rsidRPr="00A75F74">
        <w:t>viktimizaciju</w:t>
      </w:r>
      <w:proofErr w:type="spellEnd"/>
      <w:r w:rsidR="00635167">
        <w:t>, kao</w:t>
      </w:r>
      <w:r w:rsidR="0068368F" w:rsidRPr="00A75F74">
        <w:t xml:space="preserve"> i kako prepoznati dete koje je žrtva </w:t>
      </w:r>
      <w:r w:rsidR="00635167">
        <w:t>povređivanja</w:t>
      </w:r>
      <w:r w:rsidR="0068368F" w:rsidRPr="00A75F74">
        <w:t xml:space="preserve"> počinjen</w:t>
      </w:r>
      <w:r w:rsidR="00635167">
        <w:t>og</w:t>
      </w:r>
      <w:r w:rsidR="0068368F" w:rsidRPr="00A75F74">
        <w:t xml:space="preserve"> na mreži ili van nje</w:t>
      </w:r>
      <w:r w:rsidR="00635167">
        <w:t>,</w:t>
      </w:r>
      <w:r w:rsidR="0068368F" w:rsidRPr="00A75F74">
        <w:t xml:space="preserve"> i na </w:t>
      </w:r>
      <w:r w:rsidR="00635167" w:rsidRPr="00A75F74">
        <w:t>odgovarajući</w:t>
      </w:r>
      <w:r w:rsidR="0068368F" w:rsidRPr="00A75F74">
        <w:t xml:space="preserve"> način reagovati. Takvi programi treba da budu </w:t>
      </w:r>
      <w:r w:rsidR="00635167">
        <w:t>se zasnivaju na</w:t>
      </w:r>
      <w:r w:rsidR="0068368F" w:rsidRPr="00A75F74">
        <w:t xml:space="preserve"> istraživanj</w:t>
      </w:r>
      <w:r w:rsidR="00635167">
        <w:t>ima</w:t>
      </w:r>
      <w:r w:rsidR="0068368F" w:rsidRPr="00A75F74">
        <w:t xml:space="preserve"> i konsultacijama sa decom, roditeljima i </w:t>
      </w:r>
      <w:r w:rsidR="00864FFA">
        <w:t>staraocima</w:t>
      </w:r>
      <w:r w:rsidR="0068368F" w:rsidRPr="00A75F74">
        <w:t>.</w:t>
      </w:r>
    </w:p>
    <w:p w:rsidR="00704186" w:rsidRPr="00A75F74" w:rsidRDefault="00704186" w:rsidP="00704186">
      <w:pPr>
        <w:pStyle w:val="SingleTxtG"/>
      </w:pPr>
      <w:r w:rsidRPr="00A75F74">
        <w:t>33.</w:t>
      </w:r>
      <w:r w:rsidRPr="00A75F74">
        <w:tab/>
      </w:r>
      <w:r w:rsidR="00AF5FD8" w:rsidRPr="00A75F74">
        <w:t xml:space="preserve">Profesionalci koji rade za sa decom i poslovnim sektorom, </w:t>
      </w:r>
      <w:r w:rsidR="00635167">
        <w:t xml:space="preserve">odnosno sa njima, </w:t>
      </w:r>
      <w:r w:rsidR="00635167" w:rsidRPr="00A75F74">
        <w:t>uključujući</w:t>
      </w:r>
      <w:r w:rsidR="00AF5FD8" w:rsidRPr="00A75F74">
        <w:t xml:space="preserve"> tehnološku industriju, trebalo bi da prođu obuku koja uključuje kako digitalno okruženje utiče na prava deteta u </w:t>
      </w:r>
      <w:r w:rsidR="00635167">
        <w:t>različitim</w:t>
      </w:r>
      <w:r w:rsidR="00AF5FD8" w:rsidRPr="00A75F74">
        <w:t xml:space="preserve"> kontekst</w:t>
      </w:r>
      <w:r w:rsidR="00635167">
        <w:t>im</w:t>
      </w:r>
      <w:r w:rsidR="00AF5FD8" w:rsidRPr="00A75F74">
        <w:t>a, načine na koje deca ostvaruju svoja prava u digitalnom okruženju i kako pristup</w:t>
      </w:r>
      <w:r w:rsidR="00F01FE9">
        <w:t>aju</w:t>
      </w:r>
      <w:r w:rsidR="00AF5FD8" w:rsidRPr="00A75F74">
        <w:t xml:space="preserve"> i kori</w:t>
      </w:r>
      <w:r w:rsidR="00F01FE9">
        <w:t xml:space="preserve">ste </w:t>
      </w:r>
      <w:r w:rsidR="00AF5FD8" w:rsidRPr="00A75F74">
        <w:t>tehnologij</w:t>
      </w:r>
      <w:r w:rsidR="00F01FE9">
        <w:t>e</w:t>
      </w:r>
      <w:r w:rsidR="00AF5FD8" w:rsidRPr="00A75F74">
        <w:t xml:space="preserve">. Takođe bi trebalo da prođu obuku o primeni međunarodnih standarda ljudskih prava na digitalno okruženje. Države </w:t>
      </w:r>
      <w:proofErr w:type="spellStart"/>
      <w:r w:rsidR="00B72185" w:rsidRPr="00A75F74">
        <w:t>ugovornice</w:t>
      </w:r>
      <w:proofErr w:type="spellEnd"/>
      <w:r w:rsidR="00AF5FD8" w:rsidRPr="00A75F74">
        <w:t xml:space="preserve"> treba da osiguraju da se </w:t>
      </w:r>
      <w:r w:rsidR="00F01FE9" w:rsidRPr="00A75F74">
        <w:t>profesionalcima koji rade na svim nivoima obrazovanja</w:t>
      </w:r>
      <w:r w:rsidR="00F01FE9">
        <w:t xml:space="preserve">, pre i tokom </w:t>
      </w:r>
      <w:proofErr w:type="spellStart"/>
      <w:r w:rsidR="00F01FE9">
        <w:t>službe,obezbedi</w:t>
      </w:r>
      <w:proofErr w:type="spellEnd"/>
      <w:r w:rsidR="00AF5FD8" w:rsidRPr="00A75F74">
        <w:t xml:space="preserve"> obuka koja se odnosi na digitalno okruženje, kako bi </w:t>
      </w:r>
      <w:r w:rsidR="00F01FE9">
        <w:t xml:space="preserve">se </w:t>
      </w:r>
      <w:r w:rsidR="00AF5FD8" w:rsidRPr="00A75F74">
        <w:t>podrža</w:t>
      </w:r>
      <w:r w:rsidR="00F01FE9">
        <w:t>o</w:t>
      </w:r>
      <w:r w:rsidR="00AF5FD8" w:rsidRPr="00A75F74">
        <w:t xml:space="preserve"> razvoj njihovog znanja, veština i prakse.</w:t>
      </w:r>
    </w:p>
    <w:p w:rsidR="00B72185" w:rsidRPr="00A75F74" w:rsidRDefault="00B72185" w:rsidP="00B72185">
      <w:pPr>
        <w:pStyle w:val="H1G"/>
      </w:pPr>
      <w:r w:rsidRPr="00A75F74">
        <w:tab/>
        <w:t>H.</w:t>
      </w:r>
      <w:r w:rsidRPr="00A75F74">
        <w:tab/>
      </w:r>
      <w:r w:rsidR="005E645A" w:rsidRPr="00A75F74">
        <w:t>Saradnja sa civilnim društvom</w:t>
      </w:r>
    </w:p>
    <w:p w:rsidR="00B72185" w:rsidRPr="00A75F74" w:rsidRDefault="00B72185" w:rsidP="00704186">
      <w:pPr>
        <w:pStyle w:val="SingleTxtG"/>
      </w:pPr>
      <w:r w:rsidRPr="00A75F74">
        <w:t>34.</w:t>
      </w:r>
      <w:r w:rsidRPr="00A75F74">
        <w:tab/>
      </w:r>
      <w:r w:rsidR="005E645A" w:rsidRPr="00A75F74">
        <w:t xml:space="preserve">Države </w:t>
      </w:r>
      <w:proofErr w:type="spellStart"/>
      <w:r w:rsidR="002C1BC5" w:rsidRPr="00A75F74">
        <w:t>ugovornice</w:t>
      </w:r>
      <w:proofErr w:type="spellEnd"/>
      <w:r w:rsidR="002C1BC5" w:rsidRPr="00A75F74">
        <w:t xml:space="preserve"> </w:t>
      </w:r>
      <w:r w:rsidR="00F01FE9" w:rsidRPr="00A75F74">
        <w:t xml:space="preserve">treba u razvoj, primenu, praćenje i ocenu zakona, politika, planova i programa koji se odnose na prava </w:t>
      </w:r>
      <w:proofErr w:type="spellStart"/>
      <w:r w:rsidR="00F01FE9" w:rsidRPr="00A75F74">
        <w:t>detetasistematski</w:t>
      </w:r>
      <w:proofErr w:type="spellEnd"/>
      <w:r w:rsidR="00F01FE9" w:rsidRPr="00A75F74">
        <w:t xml:space="preserve"> da uključuju </w:t>
      </w:r>
      <w:r w:rsidR="005E645A" w:rsidRPr="00A75F74">
        <w:t xml:space="preserve">civilno društvo, </w:t>
      </w:r>
      <w:r w:rsidR="00F01FE9">
        <w:t xml:space="preserve">što </w:t>
      </w:r>
      <w:proofErr w:type="spellStart"/>
      <w:r w:rsidR="00F01FE9">
        <w:t>obuhvatai</w:t>
      </w:r>
      <w:proofErr w:type="spellEnd"/>
      <w:r w:rsidR="00F01FE9">
        <w:t xml:space="preserve"> </w:t>
      </w:r>
      <w:r w:rsidR="005E645A" w:rsidRPr="00A75F74">
        <w:t>grupe koje vode deca</w:t>
      </w:r>
      <w:r w:rsidR="00F01FE9">
        <w:t>, kao</w:t>
      </w:r>
      <w:r w:rsidR="005E645A" w:rsidRPr="00A75F74">
        <w:t xml:space="preserve"> i nevladine organizacije koje rade na polju dečijih prava i one koji se bave digitalnim okruženjem</w:t>
      </w:r>
      <w:r w:rsidR="00F01FE9">
        <w:t>.</w:t>
      </w:r>
      <w:r w:rsidR="005E645A" w:rsidRPr="00A75F74">
        <w:t xml:space="preserve"> Takođe bi trebalo da osiguraju da organizacije civilnog društva mogu da sprov</w:t>
      </w:r>
      <w:r w:rsidR="00F01FE9">
        <w:t>o</w:t>
      </w:r>
      <w:r w:rsidR="005E645A" w:rsidRPr="00A75F74">
        <w:t>d</w:t>
      </w:r>
      <w:r w:rsidR="00F01FE9">
        <w:t>e</w:t>
      </w:r>
      <w:r w:rsidR="005E645A" w:rsidRPr="00A75F74">
        <w:t xml:space="preserve"> svoje aktivnosti koje se odnose na promociju i zaštitu dečjih prava u odnosu na digitalno okruženje.</w:t>
      </w:r>
      <w:r w:rsidR="002C7678">
        <w:rPr>
          <w:rStyle w:val="FootnoteReference"/>
        </w:rPr>
        <w:footnoteReference w:id="18"/>
      </w:r>
    </w:p>
    <w:p w:rsidR="00C5460B" w:rsidRPr="00A75F74" w:rsidRDefault="00C5460B" w:rsidP="00C5460B">
      <w:pPr>
        <w:pStyle w:val="H1G"/>
      </w:pPr>
      <w:r w:rsidRPr="00A75F74">
        <w:tab/>
        <w:t>I.</w:t>
      </w:r>
      <w:r w:rsidRPr="00A75F74">
        <w:tab/>
      </w:r>
      <w:r w:rsidR="004D7B18">
        <w:t xml:space="preserve">Prava </w:t>
      </w:r>
      <w:proofErr w:type="spellStart"/>
      <w:r w:rsidR="004D7B18">
        <w:t>deteta</w:t>
      </w:r>
      <w:r w:rsidRPr="00A75F74">
        <w:t>i</w:t>
      </w:r>
      <w:proofErr w:type="spellEnd"/>
      <w:r w:rsidRPr="00A75F74">
        <w:t xml:space="preserve"> poslovni sektor</w:t>
      </w:r>
    </w:p>
    <w:p w:rsidR="00AF5297" w:rsidRPr="00A75F74" w:rsidRDefault="00C5460B" w:rsidP="00C5460B">
      <w:pPr>
        <w:pStyle w:val="SingleTxtG"/>
      </w:pPr>
      <w:r w:rsidRPr="00A75F74">
        <w:t>35.</w:t>
      </w:r>
      <w:r w:rsidRPr="00A75F74">
        <w:tab/>
        <w:t xml:space="preserve">Poslovni sektor, </w:t>
      </w:r>
      <w:r w:rsidR="00F01FE9" w:rsidRPr="00A75F74">
        <w:t>uključujući</w:t>
      </w:r>
      <w:r w:rsidRPr="00A75F74">
        <w:t xml:space="preserve"> neprofitne organizacije, direktno i indirektno utiče na </w:t>
      </w:r>
      <w:r w:rsidR="004D7B18">
        <w:t xml:space="preserve">prava </w:t>
      </w:r>
      <w:proofErr w:type="spellStart"/>
      <w:r w:rsidR="004D7B18">
        <w:t>deteta</w:t>
      </w:r>
      <w:r w:rsidRPr="00A75F74">
        <w:t>u</w:t>
      </w:r>
      <w:proofErr w:type="spellEnd"/>
      <w:r w:rsidRPr="00A75F74">
        <w:t xml:space="preserve"> pružanju usluga i proizvoda koji se odnose na digitalno okruženje. </w:t>
      </w:r>
      <w:r w:rsidR="002C7678" w:rsidRPr="00A75F74">
        <w:t>Preduzeća</w:t>
      </w:r>
      <w:r w:rsidRPr="00A75F74">
        <w:t xml:space="preserve"> treba da poštuju </w:t>
      </w:r>
      <w:r w:rsidR="004D7B18">
        <w:t xml:space="preserve">prava </w:t>
      </w:r>
      <w:r w:rsidR="002C7678">
        <w:t>deteta</w:t>
      </w:r>
      <w:r w:rsidR="002C7678" w:rsidRPr="00A75F74">
        <w:t xml:space="preserve"> i</w:t>
      </w:r>
      <w:r w:rsidRPr="00A75F74">
        <w:t xml:space="preserve"> spreče i isprave zloupotrebu njihovih prava u vezi sa digitalnim okruženjem. Države </w:t>
      </w:r>
      <w:proofErr w:type="spellStart"/>
      <w:r w:rsidR="00AF5297" w:rsidRPr="00A75F74">
        <w:t>ugovornice</w:t>
      </w:r>
      <w:proofErr w:type="spellEnd"/>
      <w:r w:rsidR="00AF5297" w:rsidRPr="00A75F74">
        <w:t xml:space="preserve"> </w:t>
      </w:r>
      <w:r w:rsidRPr="00A75F74">
        <w:t xml:space="preserve">imaju obavezu da osiguraju da </w:t>
      </w:r>
      <w:r w:rsidR="002C7678" w:rsidRPr="00A75F74">
        <w:t>preduzeća</w:t>
      </w:r>
      <w:r w:rsidRPr="00A75F74">
        <w:t xml:space="preserve"> ispunjavaju te </w:t>
      </w:r>
      <w:r w:rsidR="002C7678">
        <w:t>obaveze</w:t>
      </w:r>
      <w:r w:rsidRPr="00A75F74">
        <w:t>.</w:t>
      </w:r>
      <w:r w:rsidR="002C7678">
        <w:rPr>
          <w:rStyle w:val="FootnoteReference"/>
        </w:rPr>
        <w:footnoteReference w:id="19"/>
      </w:r>
    </w:p>
    <w:p w:rsidR="00C5460B" w:rsidRPr="00A75F74" w:rsidRDefault="00C5460B" w:rsidP="00704186">
      <w:pPr>
        <w:pStyle w:val="SingleTxtG"/>
      </w:pPr>
      <w:r w:rsidRPr="00A75F74">
        <w:t>36.</w:t>
      </w:r>
      <w:r w:rsidRPr="00A75F74">
        <w:tab/>
      </w:r>
      <w:r w:rsidR="000F2DB7" w:rsidRPr="00A75F74">
        <w:t xml:space="preserve">Države </w:t>
      </w:r>
      <w:proofErr w:type="spellStart"/>
      <w:r w:rsidR="00634D90" w:rsidRPr="00A75F74">
        <w:t>ugovornice</w:t>
      </w:r>
      <w:proofErr w:type="spellEnd"/>
      <w:r w:rsidR="00634D90" w:rsidRPr="00A75F74">
        <w:t xml:space="preserve"> </w:t>
      </w:r>
      <w:r w:rsidR="000F2DB7" w:rsidRPr="00A75F74">
        <w:t xml:space="preserve">treba da preduzmu mere, </w:t>
      </w:r>
      <w:r w:rsidR="002C7678" w:rsidRPr="00A75F74">
        <w:t>uključujući</w:t>
      </w:r>
      <w:r w:rsidR="000F2DB7" w:rsidRPr="00A75F74">
        <w:t xml:space="preserve"> kroz razvoj, </w:t>
      </w:r>
      <w:r w:rsidR="002C7678" w:rsidRPr="00A75F74">
        <w:t>praćenje</w:t>
      </w:r>
      <w:r w:rsidR="000F2DB7" w:rsidRPr="00A75F74">
        <w:t xml:space="preserve">, primenu i ocenu zakona, propisa i politika, kako bi osigurale da </w:t>
      </w:r>
      <w:r w:rsidR="002C7678" w:rsidRPr="00A75F74">
        <w:t>preduzeća</w:t>
      </w:r>
      <w:r w:rsidR="000F2DB7" w:rsidRPr="00A75F74">
        <w:t xml:space="preserve"> poštuju svoje obaveze da spreče da se njihove mreže ili mrežne usluge koriste na načine koji uzrokuju ili doprinose kršenjima ili zloupotreb</w:t>
      </w:r>
      <w:r w:rsidR="002C7678">
        <w:t>i</w:t>
      </w:r>
      <w:r w:rsidR="000F2DB7" w:rsidRPr="00A75F74">
        <w:t xml:space="preserve"> dečjih prava, </w:t>
      </w:r>
      <w:r w:rsidR="002C7678" w:rsidRPr="00A75F74">
        <w:t>uključujući</w:t>
      </w:r>
      <w:r w:rsidR="000F2DB7" w:rsidRPr="00A75F74">
        <w:t xml:space="preserve"> njihova prava na privatnost i zaštitu, </w:t>
      </w:r>
      <w:r w:rsidR="002C7678">
        <w:t xml:space="preserve">kao </w:t>
      </w:r>
      <w:r w:rsidR="000F2DB7" w:rsidRPr="00A75F74">
        <w:t xml:space="preserve">i </w:t>
      </w:r>
      <w:r w:rsidR="002C7678">
        <w:t>da obezbede</w:t>
      </w:r>
      <w:r w:rsidR="000F2DB7" w:rsidRPr="00A75F74">
        <w:t xml:space="preserve"> deci, roditeljima i </w:t>
      </w:r>
      <w:r w:rsidR="00864FFA">
        <w:t>staraocima</w:t>
      </w:r>
      <w:r w:rsidR="000F2DB7" w:rsidRPr="00A75F74">
        <w:t xml:space="preserve"> brz</w:t>
      </w:r>
      <w:r w:rsidR="00AA0A2E">
        <w:t>o</w:t>
      </w:r>
      <w:r w:rsidR="000F2DB7" w:rsidRPr="00A75F74">
        <w:t xml:space="preserve"> i </w:t>
      </w:r>
      <w:proofErr w:type="spellStart"/>
      <w:r w:rsidR="000F2DB7" w:rsidRPr="00A75F74">
        <w:t>efikasn</w:t>
      </w:r>
      <w:r w:rsidR="00AA0A2E">
        <w:t>oobeštećenje</w:t>
      </w:r>
      <w:proofErr w:type="spellEnd"/>
      <w:r w:rsidR="000F2DB7" w:rsidRPr="00A75F74">
        <w:t xml:space="preserve">. Takođe bi trebalo da podstaknu </w:t>
      </w:r>
      <w:r w:rsidR="002C7678" w:rsidRPr="00A75F74">
        <w:t>preduzeća</w:t>
      </w:r>
      <w:r w:rsidR="000F2DB7" w:rsidRPr="00A75F74">
        <w:t xml:space="preserve"> da pružaju javne informacije i dostupne i pravovremene savete za podršku bezbednim i korisnim digitalnim aktivnostima dece.</w:t>
      </w:r>
    </w:p>
    <w:p w:rsidR="00C264FA" w:rsidRPr="00E90F33" w:rsidRDefault="00C264FA" w:rsidP="00704186">
      <w:pPr>
        <w:pStyle w:val="SingleTxtG"/>
        <w:rPr>
          <w:i/>
          <w:iCs/>
        </w:rPr>
      </w:pPr>
      <w:r w:rsidRPr="00A75F74">
        <w:t>37.</w:t>
      </w:r>
      <w:r w:rsidRPr="00A75F74">
        <w:tab/>
        <w:t xml:space="preserve">Države </w:t>
      </w:r>
      <w:proofErr w:type="spellStart"/>
      <w:r w:rsidR="00D57BA1" w:rsidRPr="00A75F74">
        <w:t>ugovornice</w:t>
      </w:r>
      <w:proofErr w:type="spellEnd"/>
      <w:r w:rsidR="00D57BA1" w:rsidRPr="00A75F74">
        <w:t xml:space="preserve"> </w:t>
      </w:r>
      <w:r w:rsidRPr="00A75F74">
        <w:t xml:space="preserve">su dužne da zaštite decu od kršenja njihovih prava od strane poslovnih </w:t>
      </w:r>
      <w:r w:rsidR="002C7678" w:rsidRPr="00A75F74">
        <w:t>preduzeća</w:t>
      </w:r>
      <w:r w:rsidRPr="00A75F74">
        <w:t xml:space="preserve">, </w:t>
      </w:r>
      <w:r w:rsidR="002C7678" w:rsidRPr="00A75F74">
        <w:t>uključujući</w:t>
      </w:r>
      <w:r w:rsidRPr="00A75F74">
        <w:t xml:space="preserve"> pravo na zaštitu od svih oblika nasilja u digitalnom </w:t>
      </w:r>
      <w:r w:rsidRPr="00A75F74">
        <w:lastRenderedPageBreak/>
        <w:t xml:space="preserve">okruženju. Iako </w:t>
      </w:r>
      <w:r w:rsidR="002C7678" w:rsidRPr="00A75F74">
        <w:t>preduzeća</w:t>
      </w:r>
      <w:r w:rsidRPr="00A75F74">
        <w:t xml:space="preserve"> možda nisu direktno umešana u vršenje štetnih dela, ona mogu prouzrokovati ili doprineti kršenju prava dece na slobodu od nasilja, </w:t>
      </w:r>
      <w:r w:rsidR="002C7678" w:rsidRPr="00A75F74">
        <w:t>uključujući</w:t>
      </w:r>
      <w:r w:rsidRPr="00A75F74">
        <w:t xml:space="preserve"> kroz dizajn i </w:t>
      </w:r>
      <w:r w:rsidR="002C7678">
        <w:t>pružanje</w:t>
      </w:r>
      <w:r w:rsidRPr="00A75F74">
        <w:t xml:space="preserve"> digitalnih usluga. Države </w:t>
      </w:r>
      <w:proofErr w:type="spellStart"/>
      <w:r w:rsidR="00D57BA1" w:rsidRPr="00A75F74">
        <w:t>ugovornice</w:t>
      </w:r>
      <w:proofErr w:type="spellEnd"/>
      <w:r w:rsidR="00D57BA1" w:rsidRPr="00A75F74">
        <w:t xml:space="preserve"> </w:t>
      </w:r>
      <w:r w:rsidRPr="00A75F74">
        <w:t xml:space="preserve">treba da uspostave, nadgledaju i sprovode zakone i propise usmerene na sprečavanje kršenja prava na zaštitu od nasilja, kao i one čiji je cilj istraga, presuđivanje i ispravljanje kršenja </w:t>
      </w:r>
      <w:r w:rsidR="002C7678">
        <w:t xml:space="preserve">prava </w:t>
      </w:r>
      <w:r w:rsidRPr="00A75F74">
        <w:t xml:space="preserve">u slučaju da se </w:t>
      </w:r>
      <w:r w:rsidR="002C7678">
        <w:t xml:space="preserve">ona </w:t>
      </w:r>
      <w:r w:rsidRPr="00A75F74">
        <w:t>pojave u odnosu na digitalno okruženje.</w:t>
      </w:r>
      <w:r w:rsidR="00E90F33">
        <w:rPr>
          <w:rStyle w:val="FootnoteReference"/>
        </w:rPr>
        <w:footnoteReference w:id="20"/>
      </w:r>
    </w:p>
    <w:p w:rsidR="002C2A20" w:rsidRPr="00A75F74" w:rsidRDefault="008C2279" w:rsidP="00013A7E">
      <w:pPr>
        <w:pStyle w:val="SingleTxtG"/>
      </w:pPr>
      <w:r w:rsidRPr="00A75F74">
        <w:t>38.</w:t>
      </w:r>
      <w:r w:rsidRPr="00A75F74">
        <w:tab/>
        <w:t xml:space="preserve">Države </w:t>
      </w:r>
      <w:proofErr w:type="spellStart"/>
      <w:r w:rsidR="00A41902" w:rsidRPr="00A75F74">
        <w:t>ugovornice</w:t>
      </w:r>
      <w:proofErr w:type="spellEnd"/>
      <w:r w:rsidR="00A41902" w:rsidRPr="00A75F74">
        <w:t xml:space="preserve"> </w:t>
      </w:r>
      <w:r w:rsidRPr="00A75F74">
        <w:t xml:space="preserve">treba da zahtevaju od poslovnog sektora da preduzme detaljnu analizu prava deteta, posebno da izvrši procenu uticaja na prava deteta i obelodani ih javnosti, s posebnim osvrtom na </w:t>
      </w:r>
      <w:r w:rsidR="002C7678">
        <w:t>raznorodne</w:t>
      </w:r>
      <w:r w:rsidRPr="00A75F74">
        <w:t xml:space="preserve"> i, povremeno, ozbiljne uticaje digitalnog okruženja na decu.</w:t>
      </w:r>
      <w:r w:rsidR="00E90F33">
        <w:rPr>
          <w:rStyle w:val="FootnoteReference"/>
        </w:rPr>
        <w:footnoteReference w:id="21"/>
      </w:r>
      <w:r w:rsidR="002C7678">
        <w:t>One t</w:t>
      </w:r>
      <w:r w:rsidRPr="00A75F74">
        <w:t>reba</w:t>
      </w:r>
      <w:r w:rsidR="002C7678">
        <w:t xml:space="preserve"> da</w:t>
      </w:r>
      <w:r w:rsidRPr="00A75F74">
        <w:t xml:space="preserve"> preduz</w:t>
      </w:r>
      <w:r w:rsidR="002C7678">
        <w:t xml:space="preserve">mu </w:t>
      </w:r>
      <w:r w:rsidR="002C7678" w:rsidRPr="00A75F74">
        <w:t>odgovarajuće</w:t>
      </w:r>
      <w:r w:rsidRPr="00A75F74">
        <w:t xml:space="preserve"> korake da spreče, nadgledaju, istražuju i kažnjavaju kršenja prava deteta od strane </w:t>
      </w:r>
      <w:r w:rsidR="00AE728F" w:rsidRPr="00A75F74">
        <w:t>preduzeća</w:t>
      </w:r>
      <w:r w:rsidRPr="00A75F74">
        <w:t>.</w:t>
      </w:r>
    </w:p>
    <w:p w:rsidR="00A41902" w:rsidRPr="00A75F74" w:rsidRDefault="00A41902" w:rsidP="00A41902">
      <w:pPr>
        <w:pStyle w:val="SingleTxtG"/>
      </w:pPr>
      <w:r w:rsidRPr="00A75F74">
        <w:t>39.</w:t>
      </w:r>
      <w:r w:rsidRPr="00A75F74">
        <w:tab/>
      </w:r>
      <w:r w:rsidR="005F1971" w:rsidRPr="00A75F74">
        <w:t xml:space="preserve">Pored razvijanja zakonodavstva i politika, </w:t>
      </w:r>
      <w:r w:rsidR="00AE728F">
        <w:t>d</w:t>
      </w:r>
      <w:r w:rsidR="005F1971" w:rsidRPr="00A75F74">
        <w:t xml:space="preserve">ržave </w:t>
      </w:r>
      <w:proofErr w:type="spellStart"/>
      <w:r w:rsidR="005F1971" w:rsidRPr="00A75F74">
        <w:t>ugovornice</w:t>
      </w:r>
      <w:proofErr w:type="spellEnd"/>
      <w:r w:rsidR="005F1971" w:rsidRPr="00A75F74">
        <w:t xml:space="preserve"> trebalo bi da zahtevaju od svih </w:t>
      </w:r>
      <w:r w:rsidR="00AE728F" w:rsidRPr="00A75F74">
        <w:t>preduzeća</w:t>
      </w:r>
      <w:r w:rsidR="005F1971" w:rsidRPr="00A75F74">
        <w:t xml:space="preserve"> koja utiču na </w:t>
      </w:r>
      <w:r w:rsidR="004D7B18">
        <w:t xml:space="preserve">prava </w:t>
      </w:r>
      <w:r w:rsidR="00AE728F">
        <w:t>deteta</w:t>
      </w:r>
      <w:r w:rsidR="00AE728F" w:rsidRPr="00A75F74">
        <w:t xml:space="preserve"> u</w:t>
      </w:r>
      <w:r w:rsidR="005F1971" w:rsidRPr="00A75F74">
        <w:t xml:space="preserve"> vezi sa digitalnim okruženjem da primene regulatorne okvire, industrijske kodekse i uslove usluga koji </w:t>
      </w:r>
      <w:r w:rsidR="00AE728F">
        <w:t>poštuju</w:t>
      </w:r>
      <w:r w:rsidR="005F1971" w:rsidRPr="00A75F74">
        <w:t xml:space="preserve"> najviš</w:t>
      </w:r>
      <w:r w:rsidR="00AE728F">
        <w:t>e</w:t>
      </w:r>
      <w:r w:rsidR="005F1971" w:rsidRPr="00A75F74">
        <w:t xml:space="preserve"> </w:t>
      </w:r>
      <w:proofErr w:type="spellStart"/>
      <w:r w:rsidR="005F1971" w:rsidRPr="00A75F74">
        <w:t>standard</w:t>
      </w:r>
      <w:r w:rsidR="00AE728F">
        <w:t>e</w:t>
      </w:r>
      <w:r w:rsidR="00AE728F" w:rsidRPr="00A75F74">
        <w:t>etič</w:t>
      </w:r>
      <w:r w:rsidR="00AE728F">
        <w:t>nosti,</w:t>
      </w:r>
      <w:r w:rsidR="005F1971" w:rsidRPr="00A75F74">
        <w:t>privatnosti</w:t>
      </w:r>
      <w:proofErr w:type="spellEnd"/>
      <w:r w:rsidR="005F1971" w:rsidRPr="00A75F74">
        <w:t xml:space="preserve"> i bezbednosti </w:t>
      </w:r>
      <w:r w:rsidR="00AE728F">
        <w:t>v</w:t>
      </w:r>
      <w:r w:rsidR="005F1971" w:rsidRPr="00A75F74">
        <w:t xml:space="preserve">ezano za dizajn, inženjering, razvoj, rad, distribuciju i marketing njihovih proizvoda i usluga. To uključuje </w:t>
      </w:r>
      <w:r w:rsidR="00AE728F" w:rsidRPr="00A75F74">
        <w:t>preduzeća</w:t>
      </w:r>
      <w:r w:rsidR="005F1971" w:rsidRPr="00A75F74">
        <w:t xml:space="preserve"> koja</w:t>
      </w:r>
      <w:r w:rsidR="00AE728F">
        <w:t xml:space="preserve"> za</w:t>
      </w:r>
      <w:r w:rsidR="005F1971" w:rsidRPr="00A75F74">
        <w:t xml:space="preserve"> cilj</w:t>
      </w:r>
      <w:r w:rsidR="00AE728F">
        <w:t>n</w:t>
      </w:r>
      <w:r w:rsidR="005F1971" w:rsidRPr="00A75F74">
        <w:t xml:space="preserve">u </w:t>
      </w:r>
      <w:r w:rsidR="00AE728F">
        <w:t>grupu ili kao</w:t>
      </w:r>
      <w:r w:rsidR="00AE728F" w:rsidRPr="00A75F74">
        <w:t xml:space="preserve"> krajnje korisnike </w:t>
      </w:r>
      <w:r w:rsidR="00AE728F">
        <w:t xml:space="preserve">imaju </w:t>
      </w:r>
      <w:r w:rsidR="005F1971" w:rsidRPr="00A75F74">
        <w:t xml:space="preserve">decu, ili na drugi način utiču na decu. Od takvih </w:t>
      </w:r>
      <w:r w:rsidR="00AE728F" w:rsidRPr="00A75F74">
        <w:t>preduzeća</w:t>
      </w:r>
      <w:r w:rsidR="005F1971" w:rsidRPr="00A75F74">
        <w:t xml:space="preserve"> treba da zahtevaju da </w:t>
      </w:r>
      <w:r w:rsidR="00AE728F">
        <w:t>se pri</w:t>
      </w:r>
      <w:r w:rsidR="005F1971" w:rsidRPr="00A75F74">
        <w:t>državaju visok</w:t>
      </w:r>
      <w:r w:rsidR="00AE728F">
        <w:t>ih</w:t>
      </w:r>
      <w:r w:rsidR="005F1971" w:rsidRPr="00A75F74">
        <w:t xml:space="preserve"> standard</w:t>
      </w:r>
      <w:r w:rsidR="00AE728F">
        <w:t>a</w:t>
      </w:r>
      <w:r w:rsidR="005F1971" w:rsidRPr="00A75F74">
        <w:t xml:space="preserve"> transparentnosti i odgovornosti i podstiču ih da preduzimaju mere za inovacije u najboljem interesu deteta. </w:t>
      </w:r>
      <w:proofErr w:type="spellStart"/>
      <w:r w:rsidR="005F1971" w:rsidRPr="00A75F74">
        <w:t>On</w:t>
      </w:r>
      <w:r w:rsidR="00AE728F">
        <w:t>et</w:t>
      </w:r>
      <w:r w:rsidR="005F1971" w:rsidRPr="00A75F74">
        <w:t>akođe</w:t>
      </w:r>
      <w:proofErr w:type="spellEnd"/>
      <w:r w:rsidR="005F1971" w:rsidRPr="00A75F74">
        <w:t xml:space="preserve"> treba da zahtevaju </w:t>
      </w:r>
      <w:r w:rsidR="00596B3A">
        <w:t xml:space="preserve">da preduzeća </w:t>
      </w:r>
      <w:r w:rsidR="005F1971" w:rsidRPr="00A75F74">
        <w:t>pruža</w:t>
      </w:r>
      <w:r w:rsidR="00596B3A">
        <w:t>ju</w:t>
      </w:r>
      <w:r w:rsidR="005F1971" w:rsidRPr="00A75F74">
        <w:t xml:space="preserve"> objašnjenja </w:t>
      </w:r>
      <w:r w:rsidR="00AE728F" w:rsidRPr="00A75F74">
        <w:t xml:space="preserve">o uslovima </w:t>
      </w:r>
      <w:r w:rsidR="00AE728F">
        <w:t xml:space="preserve">pružanja </w:t>
      </w:r>
      <w:r w:rsidR="00596B3A">
        <w:t xml:space="preserve">svojih </w:t>
      </w:r>
      <w:proofErr w:type="spellStart"/>
      <w:r w:rsidR="00AE728F" w:rsidRPr="00A75F74">
        <w:t>uslug</w:t>
      </w:r>
      <w:r w:rsidR="00AE728F">
        <w:t>a</w:t>
      </w:r>
      <w:r w:rsidR="00596B3A" w:rsidRPr="00A75F74">
        <w:t>dec</w:t>
      </w:r>
      <w:r w:rsidR="00596B3A">
        <w:t>i</w:t>
      </w:r>
      <w:proofErr w:type="spellEnd"/>
      <w:r w:rsidR="00596B3A">
        <w:t xml:space="preserve">, koja </w:t>
      </w:r>
      <w:proofErr w:type="spellStart"/>
      <w:r w:rsidR="00596B3A">
        <w:t>su</w:t>
      </w:r>
      <w:r w:rsidR="005F1971" w:rsidRPr="00A75F74">
        <w:t>prilagođenih</w:t>
      </w:r>
      <w:proofErr w:type="spellEnd"/>
      <w:r w:rsidR="005F1971" w:rsidRPr="00A75F74">
        <w:t xml:space="preserve"> njihovo</w:t>
      </w:r>
      <w:r w:rsidR="00596B3A">
        <w:t>m</w:t>
      </w:r>
      <w:r w:rsidR="005F1971" w:rsidRPr="00A75F74">
        <w:t xml:space="preserve"> staros</w:t>
      </w:r>
      <w:r w:rsidR="00596B3A">
        <w:t>nom dobu</w:t>
      </w:r>
      <w:r w:rsidR="00AE728F">
        <w:t>, odnosno</w:t>
      </w:r>
      <w:r w:rsidR="005F1971" w:rsidRPr="00A75F74">
        <w:t xml:space="preserve"> roditeljima i </w:t>
      </w:r>
      <w:r w:rsidR="00864FFA">
        <w:t>staraocima</w:t>
      </w:r>
      <w:r w:rsidR="005F1971" w:rsidRPr="00A75F74">
        <w:t xml:space="preserve"> vrlo male </w:t>
      </w:r>
      <w:r w:rsidR="00B9238A" w:rsidRPr="00A75F74">
        <w:t>dece.</w:t>
      </w:r>
    </w:p>
    <w:p w:rsidR="00B9238A" w:rsidRPr="00A75F74" w:rsidRDefault="00B9238A" w:rsidP="00B9238A">
      <w:pPr>
        <w:pStyle w:val="H1G"/>
      </w:pPr>
      <w:r w:rsidRPr="00A75F74">
        <w:tab/>
        <w:t>J.</w:t>
      </w:r>
      <w:r w:rsidRPr="00A75F74">
        <w:tab/>
      </w:r>
      <w:r w:rsidR="000E2006" w:rsidRPr="00A75F74">
        <w:t>Komercijalno oglašavanje i marketing</w:t>
      </w:r>
    </w:p>
    <w:p w:rsidR="00B9238A" w:rsidRPr="00A75F74" w:rsidRDefault="00B9238A" w:rsidP="00B9238A">
      <w:pPr>
        <w:pStyle w:val="SingleTxtG"/>
      </w:pPr>
      <w:r w:rsidRPr="00A75F74">
        <w:t>40.</w:t>
      </w:r>
      <w:r w:rsidRPr="00A75F74">
        <w:tab/>
      </w:r>
      <w:r w:rsidR="000E2006" w:rsidRPr="00A75F74">
        <w:t xml:space="preserve">Digitalno okruženje </w:t>
      </w:r>
      <w:proofErr w:type="spellStart"/>
      <w:r w:rsidR="00596B3A">
        <w:t>obuhvata</w:t>
      </w:r>
      <w:r w:rsidR="00596B3A" w:rsidRPr="00A75F74">
        <w:t>preduzeća</w:t>
      </w:r>
      <w:proofErr w:type="spellEnd"/>
      <w:r w:rsidR="000E2006" w:rsidRPr="00A75F74">
        <w:t xml:space="preserve"> koja se finansijski oslanjaju na obradu ličnih podataka radi cilj</w:t>
      </w:r>
      <w:r w:rsidR="00596B3A">
        <w:t xml:space="preserve">nih </w:t>
      </w:r>
      <w:r w:rsidR="000E2006" w:rsidRPr="00A75F74">
        <w:t>sadržaja koj</w:t>
      </w:r>
      <w:r w:rsidR="00596B3A">
        <w:t>i</w:t>
      </w:r>
      <w:r w:rsidR="000E2006" w:rsidRPr="00A75F74">
        <w:t xml:space="preserve"> donose prihod ili koji se </w:t>
      </w:r>
      <w:r w:rsidR="00596B3A" w:rsidRPr="00A75F74">
        <w:t>plaćaju</w:t>
      </w:r>
      <w:r w:rsidR="000E2006" w:rsidRPr="00A75F74">
        <w:t xml:space="preserve">, a takvi procesi namerno i nenamerno utiču na digitalna iskustva dece. Mnogi od tih procesa uključuju </w:t>
      </w:r>
      <w:r w:rsidR="00596B3A">
        <w:t>veći broj</w:t>
      </w:r>
      <w:r w:rsidR="000E2006" w:rsidRPr="00A75F74">
        <w:t xml:space="preserve"> komercijaln</w:t>
      </w:r>
      <w:r w:rsidR="00596B3A">
        <w:t>ih</w:t>
      </w:r>
      <w:r w:rsidR="000E2006" w:rsidRPr="00A75F74">
        <w:t xml:space="preserve"> partner</w:t>
      </w:r>
      <w:r w:rsidR="00596B3A">
        <w:t>a</w:t>
      </w:r>
      <w:r w:rsidR="000E2006" w:rsidRPr="00A75F74">
        <w:t xml:space="preserve">, </w:t>
      </w:r>
      <w:r w:rsidR="00596B3A">
        <w:t xml:space="preserve">čime se </w:t>
      </w:r>
      <w:r w:rsidR="000E2006" w:rsidRPr="00A75F74">
        <w:t>stvara lanac komercijalni</w:t>
      </w:r>
      <w:r w:rsidR="00596B3A">
        <w:t>h</w:t>
      </w:r>
      <w:r w:rsidR="000E2006" w:rsidRPr="00A75F74">
        <w:t xml:space="preserve"> aktivnosti i obrad</w:t>
      </w:r>
      <w:r w:rsidR="00596B3A">
        <w:t>e</w:t>
      </w:r>
      <w:r w:rsidR="000E2006" w:rsidRPr="00A75F74">
        <w:t xml:space="preserve"> ličnih podataka koji mogu dovesti do kršenja ili zloupotrebe dečjih prava, </w:t>
      </w:r>
      <w:r w:rsidR="00596B3A">
        <w:t>što uključuje</w:t>
      </w:r>
      <w:r w:rsidR="000E2006" w:rsidRPr="00A75F74">
        <w:t xml:space="preserve"> karakteristike dizajna oglašavanja koje </w:t>
      </w:r>
      <w:r w:rsidR="00596B3A">
        <w:t>na</w:t>
      </w:r>
      <w:r w:rsidR="000E2006" w:rsidRPr="00A75F74">
        <w:t xml:space="preserve">vode </w:t>
      </w:r>
      <w:proofErr w:type="spellStart"/>
      <w:r w:rsidR="00596B3A">
        <w:t>aktivnosti</w:t>
      </w:r>
      <w:r w:rsidR="00596B3A" w:rsidRPr="00A75F74">
        <w:t>detet</w:t>
      </w:r>
      <w:r w:rsidR="00596B3A">
        <w:t>a</w:t>
      </w:r>
      <w:r w:rsidR="000E2006" w:rsidRPr="00A75F74">
        <w:t>ka</w:t>
      </w:r>
      <w:proofErr w:type="spellEnd"/>
      <w:r w:rsidR="000E2006" w:rsidRPr="00A75F74">
        <w:t xml:space="preserve"> ekstremnijim sadržajima, automatizovana obaveštenja koja mogu prekinuti spavanje ili upotrebu ličnih podataka </w:t>
      </w:r>
      <w:proofErr w:type="spellStart"/>
      <w:r w:rsidR="00596B3A" w:rsidRPr="00A75F74">
        <w:t>detet</w:t>
      </w:r>
      <w:r w:rsidR="00596B3A">
        <w:t>a</w:t>
      </w:r>
      <w:r w:rsidR="000E2006" w:rsidRPr="00A75F74">
        <w:t>ili</w:t>
      </w:r>
      <w:proofErr w:type="spellEnd"/>
      <w:r w:rsidR="000E2006" w:rsidRPr="00A75F74">
        <w:t xml:space="preserve"> </w:t>
      </w:r>
      <w:r w:rsidR="00596B3A">
        <w:t xml:space="preserve">njegove </w:t>
      </w:r>
      <w:r w:rsidR="000E2006" w:rsidRPr="00A75F74">
        <w:t xml:space="preserve">lokacije </w:t>
      </w:r>
      <w:r w:rsidR="00596B3A">
        <w:t>u cilju</w:t>
      </w:r>
      <w:r w:rsidR="000E2006" w:rsidRPr="00A75F74">
        <w:t xml:space="preserve"> potencijalno štetnih komercijalnih sadržaja.</w:t>
      </w:r>
    </w:p>
    <w:p w:rsidR="00B9238A" w:rsidRPr="00A75F74" w:rsidRDefault="00B9238A" w:rsidP="00B9238A">
      <w:pPr>
        <w:pStyle w:val="SingleTxtG"/>
      </w:pPr>
      <w:r w:rsidRPr="00A75F74">
        <w:t>41.</w:t>
      </w:r>
      <w:r w:rsidRPr="00A75F74">
        <w:tab/>
      </w:r>
      <w:r w:rsidR="00FA77CD" w:rsidRPr="00A75F74">
        <w:t xml:space="preserve">Države </w:t>
      </w:r>
      <w:proofErr w:type="spellStart"/>
      <w:r w:rsidR="009F705E" w:rsidRPr="00A75F74">
        <w:t>ugovornice</w:t>
      </w:r>
      <w:proofErr w:type="spellEnd"/>
      <w:r w:rsidR="009F705E" w:rsidRPr="00A75F74">
        <w:t xml:space="preserve"> </w:t>
      </w:r>
      <w:r w:rsidR="00FA77CD" w:rsidRPr="00A75F74">
        <w:t>treba da imaju na umu najbolje interese deteta pri regul</w:t>
      </w:r>
      <w:r w:rsidR="00596B3A">
        <w:t>isanju</w:t>
      </w:r>
      <w:r w:rsidR="00FA77CD" w:rsidRPr="00A75F74">
        <w:t xml:space="preserve"> oglašavanja i marketinga namenjenog deci i dostupnog deci. Sponzorstvo, plasman proizvoda i svi drugi oblici komercijalno vođenog sadržaja treba jasno razlikovati od svih ostalih sadržaja i </w:t>
      </w:r>
      <w:r w:rsidR="00596B3A">
        <w:t xml:space="preserve">oni </w:t>
      </w:r>
      <w:r w:rsidR="00FA77CD" w:rsidRPr="00A75F74">
        <w:t xml:space="preserve">ne bi trebalo da </w:t>
      </w:r>
      <w:r w:rsidR="00596B3A">
        <w:t>ponavljaju</w:t>
      </w:r>
      <w:r w:rsidR="00FA77CD" w:rsidRPr="00A75F74">
        <w:t xml:space="preserve"> rodne ili rasne stereotipe.</w:t>
      </w:r>
    </w:p>
    <w:p w:rsidR="00B9238A" w:rsidRPr="00A75F74" w:rsidRDefault="00B9238A" w:rsidP="00B9238A">
      <w:pPr>
        <w:pStyle w:val="SingleTxtG"/>
      </w:pPr>
      <w:r w:rsidRPr="00A75F74">
        <w:t>42.</w:t>
      </w:r>
      <w:r w:rsidRPr="00A75F74">
        <w:tab/>
      </w:r>
      <w:r w:rsidR="00DF1CAA" w:rsidRPr="00A75F74">
        <w:t xml:space="preserve">Države </w:t>
      </w:r>
      <w:proofErr w:type="spellStart"/>
      <w:r w:rsidR="00DF1CAA" w:rsidRPr="00A75F74">
        <w:t>ugovornice</w:t>
      </w:r>
      <w:proofErr w:type="spellEnd"/>
      <w:r w:rsidR="00DF1CAA" w:rsidRPr="00A75F74">
        <w:t xml:space="preserve"> </w:t>
      </w:r>
      <w:r w:rsidR="009524F2" w:rsidRPr="00A75F74">
        <w:t>trebalo</w:t>
      </w:r>
      <w:r w:rsidR="00DF1CAA" w:rsidRPr="00A75F74">
        <w:t xml:space="preserve"> bi zakonom </w:t>
      </w:r>
      <w:r w:rsidR="009524F2" w:rsidRPr="00A75F74">
        <w:t xml:space="preserve">da </w:t>
      </w:r>
      <w:proofErr w:type="spellStart"/>
      <w:r w:rsidR="009524F2" w:rsidRPr="00A75F74">
        <w:t>zabrane</w:t>
      </w:r>
      <w:r w:rsidR="00DF1CAA" w:rsidRPr="00A75F74">
        <w:t>profilisanje</w:t>
      </w:r>
      <w:proofErr w:type="spellEnd"/>
      <w:r w:rsidR="00DF1CAA" w:rsidRPr="00A75F74">
        <w:t xml:space="preserve"> ili ciljanje dece bilo kog uzrasta u komercijalne svrhe na osnovu digitalnog zapisa njihovih stvarnih ili </w:t>
      </w:r>
      <w:r w:rsidR="00596B3A">
        <w:t>izvedenih</w:t>
      </w:r>
      <w:r w:rsidR="00DF1CAA" w:rsidRPr="00A75F74">
        <w:t xml:space="preserve"> karakteristika, </w:t>
      </w:r>
      <w:r w:rsidR="00596B3A" w:rsidRPr="00A75F74">
        <w:t>uključujući</w:t>
      </w:r>
      <w:r w:rsidR="00DF1CAA" w:rsidRPr="00A75F74">
        <w:t xml:space="preserve"> grupne ili kolektivne podatke, </w:t>
      </w:r>
      <w:proofErr w:type="spellStart"/>
      <w:r w:rsidR="00DF1CAA" w:rsidRPr="00A75F74">
        <w:t>ciljanje</w:t>
      </w:r>
      <w:r w:rsidR="00596B3A">
        <w:t>mpo</w:t>
      </w:r>
      <w:proofErr w:type="spellEnd"/>
      <w:r w:rsidR="00596B3A">
        <w:t xml:space="preserve"> osnovu povezivanja</w:t>
      </w:r>
      <w:r w:rsidR="00DF1CAA" w:rsidRPr="00A75F74">
        <w:t xml:space="preserve"> ili afinitet</w:t>
      </w:r>
      <w:r w:rsidR="00596B3A">
        <w:t>a</w:t>
      </w:r>
      <w:r w:rsidR="00DF1CAA" w:rsidRPr="00A75F74">
        <w:t xml:space="preserve">. Praksama koje se oslanjaju na </w:t>
      </w:r>
      <w:proofErr w:type="spellStart"/>
      <w:r w:rsidR="00DF1CAA" w:rsidRPr="00A75F74">
        <w:t>neuromarketing</w:t>
      </w:r>
      <w:proofErr w:type="spellEnd"/>
      <w:r w:rsidR="00DF1CAA" w:rsidRPr="00A75F74">
        <w:t xml:space="preserve">, emocionalnu analitiku, </w:t>
      </w:r>
      <w:r w:rsidR="00830BA8">
        <w:t>dubinsko</w:t>
      </w:r>
      <w:r w:rsidR="00DF1CAA" w:rsidRPr="00A75F74">
        <w:t xml:space="preserve"> oglašavanje i oglašavanje u okruženjima virtuelne i proširene stvarnosti za promociju proizvoda, aplikacija i usluga takođe treba zabraniti direktno ili indirektno angažovanje sa decom.</w:t>
      </w:r>
    </w:p>
    <w:p w:rsidR="009524F2" w:rsidRPr="00A75F74" w:rsidRDefault="009524F2" w:rsidP="009524F2">
      <w:pPr>
        <w:pStyle w:val="H1G"/>
      </w:pPr>
      <w:r w:rsidRPr="00A75F74">
        <w:lastRenderedPageBreak/>
        <w:tab/>
        <w:t>K.</w:t>
      </w:r>
      <w:r w:rsidRPr="00A75F74">
        <w:tab/>
      </w:r>
      <w:r w:rsidR="00625E47" w:rsidRPr="00A75F74">
        <w:t xml:space="preserve">Pristup pravdi i </w:t>
      </w:r>
      <w:r w:rsidR="00AA0A2E">
        <w:t>obeštećenju</w:t>
      </w:r>
    </w:p>
    <w:p w:rsidR="00643068" w:rsidRPr="00A75F74" w:rsidRDefault="009524F2" w:rsidP="009524F2">
      <w:pPr>
        <w:pStyle w:val="SingleTxtG"/>
      </w:pPr>
      <w:r w:rsidRPr="00A75F74">
        <w:t>43.</w:t>
      </w:r>
      <w:r w:rsidRPr="00A75F74">
        <w:tab/>
      </w:r>
      <w:r w:rsidR="00643068" w:rsidRPr="00A75F74">
        <w:t xml:space="preserve">Deca se iz različitih razloga suočavaju sa posebnim izazovima u pristupu pravdi koji se odnose na digitalno okruženje. Takvi </w:t>
      </w:r>
      <w:proofErr w:type="spellStart"/>
      <w:r w:rsidR="00643068" w:rsidRPr="00A75F74">
        <w:t>izazovi</w:t>
      </w:r>
      <w:r w:rsidR="00E90F33">
        <w:t>,</w:t>
      </w:r>
      <w:r w:rsidR="00E90F33" w:rsidRPr="00A75F74">
        <w:t>između</w:t>
      </w:r>
      <w:proofErr w:type="spellEnd"/>
      <w:r w:rsidR="00E90F33" w:rsidRPr="00A75F74">
        <w:t xml:space="preserve"> </w:t>
      </w:r>
      <w:proofErr w:type="spellStart"/>
      <w:r w:rsidR="00E90F33" w:rsidRPr="00A75F74">
        <w:t>ostal</w:t>
      </w:r>
      <w:r w:rsidR="00E90F33">
        <w:t>og,</w:t>
      </w:r>
      <w:r w:rsidR="00643068" w:rsidRPr="00A75F74">
        <w:t>nastaju</w:t>
      </w:r>
      <w:proofErr w:type="spellEnd"/>
      <w:r w:rsidR="00643068" w:rsidRPr="00A75F74">
        <w:t xml:space="preserve"> zbog nedostatka zakona kojim se sankcionišu kršenja prava </w:t>
      </w:r>
      <w:r w:rsidR="00E90F33">
        <w:t xml:space="preserve">deteta </w:t>
      </w:r>
      <w:r w:rsidR="00643068" w:rsidRPr="00A75F74">
        <w:t xml:space="preserve">posebno u vezi sa digitalnim okruženjem, </w:t>
      </w:r>
      <w:r w:rsidR="00E90F33" w:rsidRPr="00A75F74">
        <w:t>poteškoća</w:t>
      </w:r>
      <w:r w:rsidR="00643068" w:rsidRPr="00A75F74">
        <w:t xml:space="preserve"> u pribavljanju dokaza ili identifikovanju počinilaca ili zato što deca i njihovi roditelji ili </w:t>
      </w:r>
      <w:r w:rsidR="00F16666">
        <w:t>staraoci</w:t>
      </w:r>
      <w:r w:rsidR="00643068" w:rsidRPr="00A75F74">
        <w:t xml:space="preserve"> nemaju znanja o svojim pravima ili o onome što predstavlja kršenje ili zloupotreba njihovih prava u digitalnom okruženju. D</w:t>
      </w:r>
      <w:r w:rsidR="00E90F33">
        <w:t>odatni</w:t>
      </w:r>
      <w:r w:rsidR="00643068" w:rsidRPr="00A75F74">
        <w:t xml:space="preserve"> izazovi mogu se pojaviti ako se od dece zahteva da otkriju osetljive ili privatne aktivnosti na mreži ili zbog straha od odmazde vršnjaka ili socijalne isključenosti.</w:t>
      </w:r>
    </w:p>
    <w:p w:rsidR="009524F2" w:rsidRPr="00A75F74" w:rsidRDefault="009524F2" w:rsidP="009524F2">
      <w:pPr>
        <w:pStyle w:val="SingleTxtG"/>
      </w:pPr>
      <w:r w:rsidRPr="00A75F74">
        <w:t>44.</w:t>
      </w:r>
      <w:r w:rsidRPr="00A75F74">
        <w:tab/>
      </w:r>
      <w:r w:rsidR="00DB36E7" w:rsidRPr="00A75F74">
        <w:t xml:space="preserve">Države </w:t>
      </w:r>
      <w:proofErr w:type="spellStart"/>
      <w:r w:rsidR="00DB36E7" w:rsidRPr="00A75F74">
        <w:t>ugovornice</w:t>
      </w:r>
      <w:proofErr w:type="spellEnd"/>
      <w:r w:rsidR="00DB36E7" w:rsidRPr="00A75F74">
        <w:t xml:space="preserve"> treba da osiguraju da su </w:t>
      </w:r>
      <w:r w:rsidR="00E90F33" w:rsidRPr="00A75F74">
        <w:t>odgovarajući</w:t>
      </w:r>
      <w:r w:rsidR="00DB36E7" w:rsidRPr="00A75F74">
        <w:t xml:space="preserve"> i efikasni pravni i van</w:t>
      </w:r>
      <w:r w:rsidR="00E90F33">
        <w:t>-</w:t>
      </w:r>
      <w:r w:rsidR="00DB36E7" w:rsidRPr="00A75F74">
        <w:t>pravni pravni mehanizmi za kršenje dečjih prava koji se odnose na digitalno okruženje široko poznati i lako dostupni svoj deci i njihovim predstavnicima. Mehanizmi za žalbe i</w:t>
      </w:r>
      <w:r w:rsidR="00E90F33">
        <w:t xml:space="preserve"> prijavljiv</w:t>
      </w:r>
      <w:r w:rsidR="00DB36E7" w:rsidRPr="00A75F74">
        <w:t>anje treba</w:t>
      </w:r>
      <w:r w:rsidR="00E90F33">
        <w:t xml:space="preserve"> da</w:t>
      </w:r>
      <w:r w:rsidR="00DB36E7" w:rsidRPr="00A75F74">
        <w:t xml:space="preserve"> b</w:t>
      </w:r>
      <w:r w:rsidR="00E90F33">
        <w:t>udu</w:t>
      </w:r>
      <w:r w:rsidR="00DB36E7" w:rsidRPr="00A75F74">
        <w:t xml:space="preserve"> besplatni, sigurni, poverljivi, </w:t>
      </w:r>
      <w:proofErr w:type="spellStart"/>
      <w:r w:rsidR="00E90F33">
        <w:t>odzivni</w:t>
      </w:r>
      <w:proofErr w:type="spellEnd"/>
      <w:r w:rsidR="00DB36E7" w:rsidRPr="00A75F74">
        <w:t xml:space="preserve">, prilagođeni deci i </w:t>
      </w:r>
      <w:r w:rsidR="00E90F33">
        <w:t>raspoloživi</w:t>
      </w:r>
      <w:r w:rsidR="00DB36E7" w:rsidRPr="00A75F74">
        <w:t xml:space="preserve"> u </w:t>
      </w:r>
      <w:r w:rsidR="00E90F33">
        <w:t xml:space="preserve">lako </w:t>
      </w:r>
      <w:r w:rsidR="00DB36E7" w:rsidRPr="00A75F74">
        <w:t xml:space="preserve">dostupnim formatima. Države </w:t>
      </w:r>
      <w:proofErr w:type="spellStart"/>
      <w:r w:rsidR="00573FE8" w:rsidRPr="00A75F74">
        <w:t>ugovornice</w:t>
      </w:r>
      <w:proofErr w:type="spellEnd"/>
      <w:r w:rsidR="00573FE8" w:rsidRPr="00A75F74">
        <w:t xml:space="preserve"> </w:t>
      </w:r>
      <w:r w:rsidR="00DB36E7" w:rsidRPr="00A75F74">
        <w:t xml:space="preserve">takođe treba da obezbede </w:t>
      </w:r>
      <w:r w:rsidR="00E90F33">
        <w:t xml:space="preserve">mogućnost </w:t>
      </w:r>
      <w:r w:rsidR="00DB36E7" w:rsidRPr="00A75F74">
        <w:t xml:space="preserve">kolektivne žalbe, </w:t>
      </w:r>
      <w:r w:rsidR="00E90F33" w:rsidRPr="00A75F74">
        <w:t>uključujući</w:t>
      </w:r>
      <w:r w:rsidR="00DB36E7" w:rsidRPr="00A75F74">
        <w:t xml:space="preserve"> kolektivne tužbe i parnice od javnog interesa, kao i pravnu ili drugu </w:t>
      </w:r>
      <w:proofErr w:type="spellStart"/>
      <w:r w:rsidR="00E90F33" w:rsidRPr="00A75F74">
        <w:t>odgovarajućupomoć</w:t>
      </w:r>
      <w:proofErr w:type="spellEnd"/>
      <w:r w:rsidR="00DB36E7" w:rsidRPr="00A75F74">
        <w:t xml:space="preserve">́, </w:t>
      </w:r>
      <w:r w:rsidR="00E90F33" w:rsidRPr="00A75F74">
        <w:t>uključujući</w:t>
      </w:r>
      <w:r w:rsidR="00DB36E7" w:rsidRPr="00A75F74">
        <w:t xml:space="preserve"> specijalizovane usluge, </w:t>
      </w:r>
      <w:r w:rsidR="00E90F33">
        <w:t xml:space="preserve">za </w:t>
      </w:r>
      <w:r w:rsidR="00DB36E7" w:rsidRPr="00A75F74">
        <w:t>dec</w:t>
      </w:r>
      <w:r w:rsidR="00E90F33">
        <w:t>u</w:t>
      </w:r>
      <w:r w:rsidR="00DB36E7" w:rsidRPr="00A75F74">
        <w:t xml:space="preserve"> čija su prava povređena u </w:t>
      </w:r>
      <w:r w:rsidR="00E90F33" w:rsidRPr="00A75F74">
        <w:t>digitalno</w:t>
      </w:r>
      <w:r w:rsidR="00E90F33">
        <w:t>m</w:t>
      </w:r>
      <w:r w:rsidR="00E90F33" w:rsidRPr="00A75F74">
        <w:t xml:space="preserve"> </w:t>
      </w:r>
      <w:proofErr w:type="spellStart"/>
      <w:r w:rsidR="00E90F33" w:rsidRPr="00A75F74">
        <w:t>okruženj</w:t>
      </w:r>
      <w:r w:rsidR="00E90F33">
        <w:t>u</w:t>
      </w:r>
      <w:r w:rsidR="00DB36E7" w:rsidRPr="00A75F74">
        <w:t>ili</w:t>
      </w:r>
      <w:proofErr w:type="spellEnd"/>
      <w:r w:rsidR="00DB36E7" w:rsidRPr="00A75F74">
        <w:t xml:space="preserve"> </w:t>
      </w:r>
      <w:r w:rsidR="00E90F33">
        <w:t>putem njega</w:t>
      </w:r>
      <w:r w:rsidR="00DB36E7" w:rsidRPr="00A75F74">
        <w:t>.</w:t>
      </w:r>
    </w:p>
    <w:p w:rsidR="00A41902" w:rsidRPr="00A75F74" w:rsidRDefault="009524F2" w:rsidP="00013A7E">
      <w:pPr>
        <w:pStyle w:val="SingleTxtG"/>
      </w:pPr>
      <w:r w:rsidRPr="00A75F74">
        <w:t>45.</w:t>
      </w:r>
      <w:r w:rsidRPr="00A75F74">
        <w:tab/>
      </w:r>
      <w:r w:rsidR="006D6EF2" w:rsidRPr="00A75F74">
        <w:t xml:space="preserve">Države </w:t>
      </w:r>
      <w:proofErr w:type="spellStart"/>
      <w:r w:rsidR="006D6EF2" w:rsidRPr="00A75F74">
        <w:t>ugovornice</w:t>
      </w:r>
      <w:proofErr w:type="spellEnd"/>
      <w:r w:rsidR="006D6EF2" w:rsidRPr="00A75F74">
        <w:t xml:space="preserve"> treba da uspostave, koordinišu i redovno nadgledaju i procenjuju okvire za </w:t>
      </w:r>
      <w:r w:rsidR="00E90F33">
        <w:t>prijavljivanje</w:t>
      </w:r>
      <w:r w:rsidR="006D6EF2" w:rsidRPr="00A75F74">
        <w:t xml:space="preserve"> takvih slučajeva i pružanje efikasne podrške deci koja su žrtve.</w:t>
      </w:r>
      <w:r w:rsidR="00E90F33">
        <w:rPr>
          <w:rStyle w:val="FootnoteReference"/>
        </w:rPr>
        <w:footnoteReference w:id="22"/>
      </w:r>
      <w:r w:rsidR="006649F7">
        <w:t>Ovi o</w:t>
      </w:r>
      <w:r w:rsidR="006D6EF2" w:rsidRPr="00A75F74">
        <w:t xml:space="preserve">kviri bi trebalo da uključuju mere za identifikaciju, terapiju i </w:t>
      </w:r>
      <w:proofErr w:type="spellStart"/>
      <w:r w:rsidR="006D6EF2" w:rsidRPr="00A75F74">
        <w:t>naknadn</w:t>
      </w:r>
      <w:r w:rsidR="008E376C">
        <w:t>ostaranje</w:t>
      </w:r>
      <w:proofErr w:type="spellEnd"/>
      <w:r w:rsidR="008E376C">
        <w:t xml:space="preserve"> </w:t>
      </w:r>
      <w:r w:rsidR="006D6EF2" w:rsidRPr="00A75F74">
        <w:t xml:space="preserve">i socijalnu </w:t>
      </w:r>
      <w:proofErr w:type="spellStart"/>
      <w:r w:rsidR="006D6EF2" w:rsidRPr="00A75F74">
        <w:t>reintegraciju</w:t>
      </w:r>
      <w:proofErr w:type="spellEnd"/>
      <w:r w:rsidR="006D6EF2" w:rsidRPr="00A75F74">
        <w:t xml:space="preserve"> dece koja su žrtve. Obuka o identifikaciji dece koja su žrtve treba da bude uključena u mehanizme </w:t>
      </w:r>
      <w:r w:rsidR="006649F7">
        <w:t>prijavljivanja</w:t>
      </w:r>
      <w:r w:rsidR="006D6EF2" w:rsidRPr="00A75F74">
        <w:t xml:space="preserve">, </w:t>
      </w:r>
      <w:r w:rsidR="006649F7" w:rsidRPr="00A75F74">
        <w:t>uključujući</w:t>
      </w:r>
      <w:r w:rsidR="006D6EF2" w:rsidRPr="00A75F74">
        <w:t xml:space="preserve"> i </w:t>
      </w:r>
      <w:proofErr w:type="spellStart"/>
      <w:r w:rsidR="006D6EF2" w:rsidRPr="00A75F74">
        <w:t>pružaoce</w:t>
      </w:r>
      <w:proofErr w:type="spellEnd"/>
      <w:r w:rsidR="006D6EF2" w:rsidRPr="00A75F74">
        <w:t xml:space="preserve"> digitalnih usluga. Mere u takvom okviru treba da budu više</w:t>
      </w:r>
      <w:r w:rsidR="006649F7">
        <w:t>člane</w:t>
      </w:r>
      <w:r w:rsidR="006D6EF2" w:rsidRPr="00A75F74">
        <w:t xml:space="preserve"> i prilagođene deci, kako bi se sprečila </w:t>
      </w:r>
      <w:proofErr w:type="spellStart"/>
      <w:r w:rsidR="006D6EF2" w:rsidRPr="00A75F74">
        <w:t>reviktimizacija</w:t>
      </w:r>
      <w:proofErr w:type="spellEnd"/>
      <w:r w:rsidR="006D6EF2" w:rsidRPr="00A75F74">
        <w:t xml:space="preserve"> i sekundarna </w:t>
      </w:r>
      <w:proofErr w:type="spellStart"/>
      <w:r w:rsidR="006D6EF2" w:rsidRPr="00A75F74">
        <w:t>viktimizacija</w:t>
      </w:r>
      <w:proofErr w:type="spellEnd"/>
      <w:r w:rsidR="006D6EF2" w:rsidRPr="00A75F74">
        <w:t xml:space="preserve"> deteta u kontekstu istražnih i sudskih procesa. To može zahtevati specijalizovanu zaštitu poverljivosti i ispravljanje štete povezane sa digitalnim okruženjem.</w:t>
      </w:r>
    </w:p>
    <w:p w:rsidR="00731EF4" w:rsidRPr="00A75F74" w:rsidRDefault="00731EF4" w:rsidP="00731EF4">
      <w:pPr>
        <w:pStyle w:val="SingleTxtG"/>
      </w:pPr>
      <w:r w:rsidRPr="00A75F74">
        <w:t>46.</w:t>
      </w:r>
      <w:r w:rsidRPr="00A75F74">
        <w:tab/>
      </w:r>
      <w:r w:rsidR="006649F7" w:rsidRPr="00A75F74">
        <w:t>Odgovarajuća</w:t>
      </w:r>
      <w:r w:rsidRPr="00A75F74">
        <w:t xml:space="preserve"> odšteta uključuje </w:t>
      </w:r>
      <w:r w:rsidR="006649F7" w:rsidRPr="00A75F74">
        <w:t>povraćaj</w:t>
      </w:r>
      <w:r w:rsidRPr="00A75F74">
        <w:t xml:space="preserve">, </w:t>
      </w:r>
      <w:r w:rsidR="006649F7" w:rsidRPr="00A75F74">
        <w:t>obeštećenje</w:t>
      </w:r>
      <w:r w:rsidRPr="00A75F74">
        <w:t xml:space="preserve"> i </w:t>
      </w:r>
      <w:r w:rsidR="006649F7">
        <w:t>pružanje satisfakcije</w:t>
      </w:r>
      <w:r w:rsidRPr="00A75F74">
        <w:t xml:space="preserve"> i može zahtevati izvinjenje, ispravku, uklanjanje nezakonitog sadržaja, pristup uslugama psihološkog oporavka ili druge mere.</w:t>
      </w:r>
      <w:r w:rsidR="006649F7">
        <w:rPr>
          <w:rStyle w:val="FootnoteReference"/>
        </w:rPr>
        <w:footnoteReference w:id="23"/>
      </w:r>
      <w:r w:rsidRPr="00A75F74">
        <w:t xml:space="preserve"> U vezi sa kršenjima u digitalnom okruženju, </w:t>
      </w:r>
      <w:r w:rsidR="00AA0A2E">
        <w:t xml:space="preserve">korektivni </w:t>
      </w:r>
      <w:r w:rsidRPr="00A75F74">
        <w:t xml:space="preserve">mehanizmi treba da uzmu u obzir ranjivost dece i potrebu da budu brzi da bi zaustavili </w:t>
      </w:r>
      <w:r w:rsidR="006649F7" w:rsidRPr="00A75F74">
        <w:t>tekuću</w:t>
      </w:r>
      <w:r w:rsidRPr="00A75F74">
        <w:t xml:space="preserve"> i </w:t>
      </w:r>
      <w:r w:rsidR="006649F7" w:rsidRPr="00A75F74">
        <w:t>buduću</w:t>
      </w:r>
      <w:r w:rsidRPr="00A75F74">
        <w:t xml:space="preserve"> štetu. Države </w:t>
      </w:r>
      <w:proofErr w:type="spellStart"/>
      <w:r w:rsidR="00E84367" w:rsidRPr="00A75F74">
        <w:t>ugovornice</w:t>
      </w:r>
      <w:proofErr w:type="spellEnd"/>
      <w:r w:rsidR="00E84367" w:rsidRPr="00A75F74">
        <w:t xml:space="preserve"> </w:t>
      </w:r>
      <w:r w:rsidRPr="00A75F74">
        <w:t xml:space="preserve">treba da garantuju </w:t>
      </w:r>
      <w:r w:rsidR="006649F7">
        <w:t xml:space="preserve">da ne dolazi do </w:t>
      </w:r>
      <w:proofErr w:type="spellStart"/>
      <w:r w:rsidRPr="00A75F74">
        <w:t>ponavljanj</w:t>
      </w:r>
      <w:r w:rsidR="006649F7">
        <w:t>a</w:t>
      </w:r>
      <w:r w:rsidR="00AA0A2E">
        <w:t>prestupa</w:t>
      </w:r>
      <w:proofErr w:type="spellEnd"/>
      <w:r w:rsidRPr="00A75F74">
        <w:t xml:space="preserve">, </w:t>
      </w:r>
      <w:r w:rsidR="006649F7" w:rsidRPr="00A75F74">
        <w:t>uključujući</w:t>
      </w:r>
      <w:r w:rsidRPr="00A75F74">
        <w:t xml:space="preserve"> i reformu relevantnih zakona i politika i njihovu efikasnu primenu.</w:t>
      </w:r>
    </w:p>
    <w:p w:rsidR="00731EF4" w:rsidRPr="00A75F74" w:rsidRDefault="00731EF4" w:rsidP="00013A7E">
      <w:pPr>
        <w:pStyle w:val="SingleTxtG"/>
      </w:pPr>
      <w:r w:rsidRPr="00A75F74">
        <w:t>47.</w:t>
      </w:r>
      <w:r w:rsidRPr="00A75F74">
        <w:tab/>
      </w:r>
      <w:r w:rsidR="005A1DC4" w:rsidRPr="00A75F74">
        <w:t xml:space="preserve">Digitalne tehnologije </w:t>
      </w:r>
      <w:r w:rsidR="00AA0A2E">
        <w:t>unose</w:t>
      </w:r>
      <w:r w:rsidR="005A1DC4" w:rsidRPr="00A75F74">
        <w:t xml:space="preserve"> dodatnu složenost </w:t>
      </w:r>
      <w:r w:rsidR="00AA0A2E">
        <w:t xml:space="preserve">u </w:t>
      </w:r>
      <w:r w:rsidR="005A1DC4" w:rsidRPr="00A75F74">
        <w:t>istra</w:t>
      </w:r>
      <w:r w:rsidR="00AA0A2E">
        <w:t>ge</w:t>
      </w:r>
      <w:r w:rsidR="005A1DC4" w:rsidRPr="00A75F74">
        <w:t xml:space="preserve"> i krivično gonjenj</w:t>
      </w:r>
      <w:r w:rsidR="00AA0A2E">
        <w:t>e</w:t>
      </w:r>
      <w:r w:rsidR="005A1DC4" w:rsidRPr="00A75F74">
        <w:t xml:space="preserve"> zločina protiv dece</w:t>
      </w:r>
      <w:r w:rsidR="00AA0A2E">
        <w:t>,</w:t>
      </w:r>
      <w:r w:rsidR="005A1DC4" w:rsidRPr="00A75F74">
        <w:t xml:space="preserve"> koji mogu pre</w:t>
      </w:r>
      <w:r w:rsidR="00AA0A2E">
        <w:t>laziti</w:t>
      </w:r>
      <w:r w:rsidR="005A1DC4" w:rsidRPr="00A75F74">
        <w:t xml:space="preserve"> državne granice. Države </w:t>
      </w:r>
      <w:proofErr w:type="spellStart"/>
      <w:r w:rsidR="005A1DC4" w:rsidRPr="00A75F74">
        <w:t>ugovornice</w:t>
      </w:r>
      <w:proofErr w:type="spellEnd"/>
      <w:r w:rsidR="005A1DC4" w:rsidRPr="00A75F74">
        <w:t xml:space="preserve"> treba da se pozabave načinima na koje upotreba digitalnih tehnologija može olakšati ili ometati istragu i krivično gonjenje zločina protiv dece i preduzeti sve raspoložive preventivne mere, mere izvršenja i </w:t>
      </w:r>
      <w:r w:rsidR="00AA0A2E">
        <w:t>obeštećenja</w:t>
      </w:r>
      <w:r w:rsidR="005A1DC4" w:rsidRPr="00A75F74">
        <w:t xml:space="preserve">, </w:t>
      </w:r>
      <w:r w:rsidR="00AA0A2E">
        <w:t xml:space="preserve">što </w:t>
      </w:r>
      <w:proofErr w:type="spellStart"/>
      <w:r w:rsidR="00AA0A2E" w:rsidRPr="00A75F74">
        <w:t>uključuj</w:t>
      </w:r>
      <w:r w:rsidR="00AA0A2E">
        <w:t>ei</w:t>
      </w:r>
      <w:proofErr w:type="spellEnd"/>
      <w:r w:rsidR="00AA0A2E">
        <w:t xml:space="preserve"> </w:t>
      </w:r>
      <w:r w:rsidR="005A1DC4" w:rsidRPr="00A75F74">
        <w:t>saradnj</w:t>
      </w:r>
      <w:r w:rsidR="00AA0A2E">
        <w:t>u</w:t>
      </w:r>
      <w:r w:rsidR="005A1DC4" w:rsidRPr="00A75F74">
        <w:t xml:space="preserve"> sa međunarodnim partnerima. On</w:t>
      </w:r>
      <w:r w:rsidR="00AA0A2E">
        <w:t>e</w:t>
      </w:r>
      <w:r w:rsidR="005A1DC4" w:rsidRPr="00A75F74">
        <w:t xml:space="preserve"> treba da pruže specijalizovanu obuku za službenike </w:t>
      </w:r>
      <w:r w:rsidR="00AA0A2E">
        <w:t xml:space="preserve">koji sprovode </w:t>
      </w:r>
      <w:r w:rsidR="005A1DC4" w:rsidRPr="00A75F74">
        <w:t>zakon</w:t>
      </w:r>
      <w:r w:rsidR="00AA0A2E">
        <w:t>e</w:t>
      </w:r>
      <w:r w:rsidR="005A1DC4" w:rsidRPr="00A75F74">
        <w:t xml:space="preserve">, tužioce i sudije u vezi sa kršenjem prava deteta posebno povezanim sa digitalnim okruženjem, </w:t>
      </w:r>
      <w:r w:rsidR="00AA0A2E">
        <w:t xml:space="preserve">što </w:t>
      </w:r>
      <w:r w:rsidR="00AA0A2E" w:rsidRPr="00A75F74">
        <w:t>uključuj</w:t>
      </w:r>
      <w:r w:rsidR="00AA0A2E">
        <w:t>e</w:t>
      </w:r>
      <w:r w:rsidR="005A1DC4" w:rsidRPr="00A75F74">
        <w:t xml:space="preserve"> i međunarodnu saradnju.</w:t>
      </w:r>
    </w:p>
    <w:p w:rsidR="0066146F" w:rsidRPr="00A75F74" w:rsidRDefault="0066146F" w:rsidP="0066146F">
      <w:pPr>
        <w:pStyle w:val="SingleTxtG"/>
      </w:pPr>
      <w:r w:rsidRPr="00A75F74">
        <w:t>48.</w:t>
      </w:r>
      <w:r w:rsidRPr="00A75F74">
        <w:tab/>
        <w:t xml:space="preserve">Deca se mogu suočiti sa posebnim </w:t>
      </w:r>
      <w:r w:rsidR="0053664D" w:rsidRPr="00A75F74">
        <w:t>poteškoćama</w:t>
      </w:r>
      <w:r w:rsidRPr="00A75F74">
        <w:t xml:space="preserve"> u dobijanju </w:t>
      </w:r>
      <w:r w:rsidR="0053664D">
        <w:t>obeštećenja</w:t>
      </w:r>
      <w:r w:rsidRPr="00A75F74">
        <w:t xml:space="preserve"> kada su </w:t>
      </w:r>
      <w:r w:rsidR="0053664D" w:rsidRPr="00A75F74">
        <w:t>preduzeća</w:t>
      </w:r>
      <w:r w:rsidRPr="00A75F74">
        <w:t xml:space="preserve"> zloupotrebila </w:t>
      </w:r>
      <w:r w:rsidR="0053664D" w:rsidRPr="00A75F74">
        <w:t xml:space="preserve">njihova </w:t>
      </w:r>
      <w:r w:rsidRPr="00A75F74">
        <w:t xml:space="preserve">prava u digitalnom okruženju, posebno u kontekstu </w:t>
      </w:r>
      <w:r w:rsidR="0053664D">
        <w:t>svog</w:t>
      </w:r>
      <w:r w:rsidRPr="00A75F74">
        <w:t xml:space="preserve"> globalnog poslovanja.</w:t>
      </w:r>
      <w:r w:rsidR="0053664D">
        <w:rPr>
          <w:rStyle w:val="FootnoteReference"/>
        </w:rPr>
        <w:footnoteReference w:id="24"/>
      </w:r>
      <w:r w:rsidRPr="00A75F74">
        <w:t xml:space="preserve"> Države </w:t>
      </w:r>
      <w:proofErr w:type="spellStart"/>
      <w:r w:rsidR="00243C62" w:rsidRPr="00A75F74">
        <w:t>ugovornice</w:t>
      </w:r>
      <w:proofErr w:type="spellEnd"/>
      <w:r w:rsidR="00243C62" w:rsidRPr="00A75F74">
        <w:t xml:space="preserve"> trebalo</w:t>
      </w:r>
      <w:r w:rsidRPr="00A75F74">
        <w:t xml:space="preserve"> bi da razmotre mere za poštovanje, zaštitu i ispunjavanje dečjih prava u kontekstu eksteritorijalnih aktivnosti i operacija </w:t>
      </w:r>
      <w:r w:rsidR="0053664D" w:rsidRPr="00A75F74">
        <w:t>preduzeća</w:t>
      </w:r>
      <w:r w:rsidRPr="00A75F74">
        <w:t xml:space="preserve">, pod uslovom da postoji razumna veza između države i dotičnog ponašanja. </w:t>
      </w:r>
      <w:r w:rsidR="0053664D">
        <w:lastRenderedPageBreak/>
        <w:t>One t</w:t>
      </w:r>
      <w:r w:rsidRPr="00A75F74">
        <w:t>reba</w:t>
      </w:r>
      <w:r w:rsidR="0053664D">
        <w:t xml:space="preserve"> da</w:t>
      </w:r>
      <w:r w:rsidRPr="00A75F74">
        <w:t xml:space="preserve"> o</w:t>
      </w:r>
      <w:r w:rsidR="0053664D">
        <w:t>bezbede</w:t>
      </w:r>
      <w:r w:rsidRPr="00A75F74">
        <w:t xml:space="preserve"> da </w:t>
      </w:r>
      <w:r w:rsidR="0053664D" w:rsidRPr="00A75F74">
        <w:t>preduzeća</w:t>
      </w:r>
      <w:r w:rsidRPr="00A75F74">
        <w:t xml:space="preserve"> pružaju efikasne mehanizme za podnošenje žalbi; takvi mehanizmi, međutim, ne bi trebalo da </w:t>
      </w:r>
      <w:r w:rsidR="0053664D">
        <w:t>sprečavaju</w:t>
      </w:r>
      <w:r w:rsidRPr="00A75F74">
        <w:t xml:space="preserve"> decu da pristupe državnim </w:t>
      </w:r>
      <w:r w:rsidR="0053664D">
        <w:t>obeštećenjima</w:t>
      </w:r>
      <w:r w:rsidRPr="00A75F74">
        <w:t xml:space="preserve">. Takođe bi trebalo da osiguraju da agencije sa nadzornim </w:t>
      </w:r>
      <w:r w:rsidR="0053664D" w:rsidRPr="00A75F74">
        <w:t>ovlašćenjima</w:t>
      </w:r>
      <w:r w:rsidRPr="00A75F74">
        <w:t xml:space="preserve"> relevantnim za prava deteta, poput onih koje se odnose na zdravlje i bezbednost, zaštitu podataka i prava potrošača, obrazovanje i oglašavanje i marketing, istražuju žalbe i pružaju </w:t>
      </w:r>
      <w:proofErr w:type="spellStart"/>
      <w:r w:rsidR="0053664D" w:rsidRPr="00A75F74">
        <w:t>odgovarajuće</w:t>
      </w:r>
      <w:r w:rsidR="0053664D">
        <w:t>korektivne</w:t>
      </w:r>
      <w:proofErr w:type="spellEnd"/>
      <w:r w:rsidR="0053664D">
        <w:t xml:space="preserve"> mere</w:t>
      </w:r>
      <w:r w:rsidRPr="00A75F74">
        <w:t xml:space="preserve"> za kršenje ili zloupotrebu prava </w:t>
      </w:r>
      <w:r w:rsidR="0053664D">
        <w:t xml:space="preserve">deteta </w:t>
      </w:r>
      <w:r w:rsidRPr="00A75F74">
        <w:t>u digitalno</w:t>
      </w:r>
      <w:r w:rsidR="0053664D">
        <w:t>m</w:t>
      </w:r>
      <w:r w:rsidRPr="00A75F74">
        <w:t xml:space="preserve"> okruženj</w:t>
      </w:r>
      <w:r w:rsidR="0053664D">
        <w:t>u</w:t>
      </w:r>
      <w:r w:rsidRPr="00A75F74">
        <w:t>.</w:t>
      </w:r>
      <w:r w:rsidR="00146CCD">
        <w:rPr>
          <w:rStyle w:val="FootnoteReference"/>
        </w:rPr>
        <w:footnoteReference w:id="25"/>
      </w:r>
    </w:p>
    <w:p w:rsidR="0066146F" w:rsidRPr="00A75F74" w:rsidRDefault="0066146F" w:rsidP="0066146F">
      <w:pPr>
        <w:pStyle w:val="SingleTxtG"/>
      </w:pPr>
      <w:r w:rsidRPr="00A75F74">
        <w:t>49.</w:t>
      </w:r>
      <w:r w:rsidRPr="00A75F74">
        <w:tab/>
      </w:r>
      <w:r w:rsidR="007A47C3" w:rsidRPr="00A75F74">
        <w:t xml:space="preserve">Države </w:t>
      </w:r>
      <w:proofErr w:type="spellStart"/>
      <w:r w:rsidR="007A47C3" w:rsidRPr="00A75F74">
        <w:t>ugovornice</w:t>
      </w:r>
      <w:proofErr w:type="spellEnd"/>
      <w:r w:rsidR="007A47C3" w:rsidRPr="00A75F74">
        <w:t xml:space="preserve"> treba </w:t>
      </w:r>
      <w:r w:rsidR="0053664D">
        <w:t>d</w:t>
      </w:r>
      <w:r w:rsidR="007A47C3" w:rsidRPr="00A75F74">
        <w:t xml:space="preserve">a pruže deci </w:t>
      </w:r>
      <w:r w:rsidR="0053664D">
        <w:t xml:space="preserve">informacije prilagođene deci i njihovom </w:t>
      </w:r>
      <w:r w:rsidR="007A47C3" w:rsidRPr="00A75F74">
        <w:t>uzrast</w:t>
      </w:r>
      <w:r w:rsidR="0053664D">
        <w:t xml:space="preserve">u, jezikom </w:t>
      </w:r>
      <w:r w:rsidR="007A47C3" w:rsidRPr="00A75F74">
        <w:t>prilagođen</w:t>
      </w:r>
      <w:r w:rsidR="0053664D">
        <w:t>im</w:t>
      </w:r>
      <w:r w:rsidR="007A47C3" w:rsidRPr="00A75F74">
        <w:t xml:space="preserve"> deci</w:t>
      </w:r>
      <w:r w:rsidR="0053664D">
        <w:t>,</w:t>
      </w:r>
      <w:r w:rsidR="007A47C3" w:rsidRPr="00A75F74">
        <w:t xml:space="preserve"> o njihovim pravima i o mehanizmima </w:t>
      </w:r>
      <w:r w:rsidR="0053664D">
        <w:t>za prijavljivanje</w:t>
      </w:r>
      <w:r w:rsidR="007A47C3" w:rsidRPr="00A75F74">
        <w:t xml:space="preserve"> i žalb</w:t>
      </w:r>
      <w:r w:rsidR="0053664D">
        <w:t>e</w:t>
      </w:r>
      <w:r w:rsidR="007A47C3" w:rsidRPr="00A75F74">
        <w:t xml:space="preserve">, </w:t>
      </w:r>
      <w:r w:rsidR="00146CCD">
        <w:t xml:space="preserve">kao i o </w:t>
      </w:r>
      <w:r w:rsidR="007A47C3" w:rsidRPr="00A75F74">
        <w:t xml:space="preserve">uslugama i </w:t>
      </w:r>
      <w:r w:rsidR="0053664D">
        <w:t>korektivnim merama</w:t>
      </w:r>
      <w:r w:rsidR="007A47C3" w:rsidRPr="00A75F74">
        <w:t xml:space="preserve"> koj</w:t>
      </w:r>
      <w:r w:rsidR="0053664D">
        <w:t>e</w:t>
      </w:r>
      <w:r w:rsidR="007A47C3" w:rsidRPr="00A75F74">
        <w:t xml:space="preserve"> su im na raspolaganju u slučajevima kada su njihova prava u vezi sa digitalnim okruženjem povređena ili zlo</w:t>
      </w:r>
      <w:r w:rsidR="0053664D">
        <w:t>upotrebljena</w:t>
      </w:r>
      <w:r w:rsidR="007A47C3" w:rsidRPr="00A75F74">
        <w:t xml:space="preserve">. Takve informacije takođe treba pružiti roditeljima, </w:t>
      </w:r>
      <w:r w:rsidR="00864FFA">
        <w:t>staraocima</w:t>
      </w:r>
      <w:r w:rsidR="007A47C3" w:rsidRPr="00A75F74">
        <w:t xml:space="preserve"> i profesionalcima koji rade sa i za decu.</w:t>
      </w:r>
    </w:p>
    <w:p w:rsidR="00BB1CAB" w:rsidRPr="00A75F74" w:rsidRDefault="00BB1CAB" w:rsidP="00BB1CAB">
      <w:pPr>
        <w:pStyle w:val="HChG"/>
      </w:pPr>
      <w:r w:rsidRPr="00A75F74">
        <w:tab/>
        <w:t>VI.</w:t>
      </w:r>
      <w:r w:rsidRPr="00A75F74">
        <w:tab/>
        <w:t>Građanska prava i slobode</w:t>
      </w:r>
    </w:p>
    <w:p w:rsidR="00BB1CAB" w:rsidRPr="00A75F74" w:rsidRDefault="00BB1CAB" w:rsidP="00BB1CAB">
      <w:pPr>
        <w:pStyle w:val="H1G"/>
      </w:pPr>
      <w:bookmarkStart w:id="5" w:name="_Toc47967807"/>
      <w:r w:rsidRPr="00A75F74">
        <w:tab/>
        <w:t>A.</w:t>
      </w:r>
      <w:r w:rsidRPr="00A75F74">
        <w:tab/>
        <w:t xml:space="preserve">Pristup informacijama </w:t>
      </w:r>
      <w:bookmarkEnd w:id="5"/>
    </w:p>
    <w:p w:rsidR="00BB1CAB" w:rsidRPr="00A75F74" w:rsidRDefault="00BB1CAB" w:rsidP="00BB1CAB">
      <w:pPr>
        <w:pStyle w:val="SingleTxtG"/>
      </w:pPr>
      <w:r w:rsidRPr="00A75F74">
        <w:t>50.</w:t>
      </w:r>
      <w:r w:rsidRPr="00A75F74">
        <w:tab/>
      </w:r>
      <w:r w:rsidR="000472FE" w:rsidRPr="00A75F74">
        <w:t>Digitalno okruženje pruža jedinstvenu priliku deci da ostvare pravo na pristup informacijama. U tom pogledu, informa</w:t>
      </w:r>
      <w:r w:rsidR="00146CCD">
        <w:t>cio</w:t>
      </w:r>
      <w:r w:rsidR="000472FE" w:rsidRPr="00A75F74">
        <w:t xml:space="preserve">ni i komunikacioni mediji, </w:t>
      </w:r>
      <w:r w:rsidR="00146CCD" w:rsidRPr="00A75F74">
        <w:t>uključujući</w:t>
      </w:r>
      <w:r w:rsidR="000472FE" w:rsidRPr="00A75F74">
        <w:t xml:space="preserve"> digitalni i mrežni sadržaj, obavljaju važnu funkciju.</w:t>
      </w:r>
      <w:r w:rsidR="00146CCD">
        <w:rPr>
          <w:rStyle w:val="FootnoteReference"/>
        </w:rPr>
        <w:footnoteReference w:id="26"/>
      </w:r>
      <w:r w:rsidR="000472FE" w:rsidRPr="00A75F74">
        <w:t xml:space="preserve"> Države </w:t>
      </w:r>
      <w:proofErr w:type="spellStart"/>
      <w:r w:rsidR="00BB3AD5" w:rsidRPr="00A75F74">
        <w:t>ugovornice</w:t>
      </w:r>
      <w:proofErr w:type="spellEnd"/>
      <w:r w:rsidR="00BB3AD5" w:rsidRPr="00A75F74">
        <w:t xml:space="preserve"> </w:t>
      </w:r>
      <w:r w:rsidR="000472FE" w:rsidRPr="00A75F74">
        <w:t xml:space="preserve">treba da obezbede da deca imaju pristup informacijama u digitalnom okruženju i da je </w:t>
      </w:r>
      <w:r w:rsidR="00146CCD">
        <w:t>uživanje</w:t>
      </w:r>
      <w:r w:rsidR="000472FE" w:rsidRPr="00A75F74">
        <w:t xml:space="preserve"> tog prava ograničeno samo kada je to predviđeno zakonom i neophodno </w:t>
      </w:r>
      <w:r w:rsidR="00146CCD">
        <w:t>u</w:t>
      </w:r>
      <w:r w:rsidR="000472FE" w:rsidRPr="00A75F74">
        <w:t xml:space="preserve"> svrhe predviđene članom 13 Konvencije.</w:t>
      </w:r>
    </w:p>
    <w:p w:rsidR="00BB1CAB" w:rsidRPr="00A75F74" w:rsidRDefault="00BB1CAB" w:rsidP="00BB1CAB">
      <w:pPr>
        <w:pStyle w:val="SingleTxtG"/>
      </w:pPr>
      <w:r w:rsidRPr="00A75F74">
        <w:t>51.</w:t>
      </w:r>
      <w:r w:rsidRPr="00A75F74">
        <w:tab/>
      </w:r>
      <w:r w:rsidR="00B46E51" w:rsidRPr="00A75F74">
        <w:t xml:space="preserve">Države </w:t>
      </w:r>
      <w:proofErr w:type="spellStart"/>
      <w:r w:rsidR="0060765D" w:rsidRPr="00A75F74">
        <w:t>ugovornice</w:t>
      </w:r>
      <w:proofErr w:type="spellEnd"/>
      <w:r w:rsidR="0060765D" w:rsidRPr="00A75F74">
        <w:t xml:space="preserve"> </w:t>
      </w:r>
      <w:r w:rsidR="00B46E51" w:rsidRPr="00A75F74">
        <w:t xml:space="preserve">treba da obezbede i podrže </w:t>
      </w:r>
      <w:r w:rsidR="00146CCD">
        <w:t xml:space="preserve">proizvodnju </w:t>
      </w:r>
      <w:r w:rsidR="00B46E51" w:rsidRPr="00A75F74">
        <w:t xml:space="preserve">digitalnog sadržaja za decu </w:t>
      </w:r>
      <w:r w:rsidR="00146CCD">
        <w:t>koji odgovara njihovom</w:t>
      </w:r>
      <w:r w:rsidR="00146CCD" w:rsidRPr="00A75F74">
        <w:t xml:space="preserve"> uzrast</w:t>
      </w:r>
      <w:r w:rsidR="00146CCD">
        <w:t>u</w:t>
      </w:r>
      <w:r w:rsidR="00146CCD" w:rsidRPr="00A75F74">
        <w:t xml:space="preserve"> i </w:t>
      </w:r>
      <w:r w:rsidR="00146CCD">
        <w:t xml:space="preserve">koji ih </w:t>
      </w:r>
      <w:r w:rsidR="00146CCD" w:rsidRPr="00A75F74">
        <w:t>osnaž</w:t>
      </w:r>
      <w:r w:rsidR="00146CCD">
        <w:t>uj</w:t>
      </w:r>
      <w:r w:rsidR="00146CCD" w:rsidRPr="00A75F74">
        <w:t>e</w:t>
      </w:r>
      <w:r w:rsidR="00146CCD">
        <w:t>, a</w:t>
      </w:r>
      <w:r w:rsidR="00B46E51" w:rsidRPr="00A75F74">
        <w:t>u skladu sa</w:t>
      </w:r>
      <w:r w:rsidR="007A1036">
        <w:t xml:space="preserve"> razvojnim</w:t>
      </w:r>
      <w:r w:rsidR="00B46E51" w:rsidRPr="00A75F74">
        <w:t xml:space="preserve"> kapacitetima </w:t>
      </w:r>
      <w:r w:rsidR="00146CCD">
        <w:t xml:space="preserve">dece, kao </w:t>
      </w:r>
      <w:r w:rsidR="00B46E51" w:rsidRPr="00A75F74">
        <w:t xml:space="preserve">i </w:t>
      </w:r>
      <w:r w:rsidR="00146CCD">
        <w:t xml:space="preserve">da </w:t>
      </w:r>
      <w:r w:rsidR="00B46E51" w:rsidRPr="00A75F74">
        <w:t xml:space="preserve">obezbede deci pristup </w:t>
      </w:r>
      <w:r w:rsidR="00146CCD">
        <w:t>raznorodnim</w:t>
      </w:r>
      <w:r w:rsidR="00B46E51" w:rsidRPr="00A75F74">
        <w:t xml:space="preserve"> informacija</w:t>
      </w:r>
      <w:r w:rsidR="00146CCD">
        <w:t>ma</w:t>
      </w:r>
      <w:r w:rsidR="00B46E51" w:rsidRPr="00A75F74">
        <w:t xml:space="preserve">, </w:t>
      </w:r>
      <w:r w:rsidR="00146CCD" w:rsidRPr="00A75F74">
        <w:t>uključujući</w:t>
      </w:r>
      <w:r w:rsidR="00B46E51" w:rsidRPr="00A75F74">
        <w:t xml:space="preserve"> informacije koje poseduju </w:t>
      </w:r>
      <w:proofErr w:type="spellStart"/>
      <w:r w:rsidR="00B46E51" w:rsidRPr="00A75F74">
        <w:t>javn</w:t>
      </w:r>
      <w:r w:rsidR="00146CCD">
        <w:t>eustanove</w:t>
      </w:r>
      <w:proofErr w:type="spellEnd"/>
      <w:r w:rsidR="00B46E51" w:rsidRPr="00A75F74">
        <w:t>, o kulturi, sportu, umetnost</w:t>
      </w:r>
      <w:r w:rsidR="00146CCD">
        <w:t>i</w:t>
      </w:r>
      <w:r w:rsidR="00B46E51" w:rsidRPr="00A75F74">
        <w:t>, zdravstv</w:t>
      </w:r>
      <w:r w:rsidR="00146CCD">
        <w:t>u</w:t>
      </w:r>
      <w:r w:rsidR="00B46E51" w:rsidRPr="00A75F74">
        <w:t>, građanski</w:t>
      </w:r>
      <w:r w:rsidR="00146CCD">
        <w:t>m</w:t>
      </w:r>
      <w:r w:rsidR="00B46E51" w:rsidRPr="00A75F74">
        <w:t xml:space="preserve"> i </w:t>
      </w:r>
      <w:proofErr w:type="spellStart"/>
      <w:r w:rsidR="00B46E51" w:rsidRPr="00A75F74">
        <w:t>politički</w:t>
      </w:r>
      <w:r w:rsidR="00146CCD">
        <w:t>mpitanjima</w:t>
      </w:r>
      <w:proofErr w:type="spellEnd"/>
      <w:r w:rsidR="00B46E51" w:rsidRPr="00A75F74">
        <w:t xml:space="preserve"> i prav</w:t>
      </w:r>
      <w:r w:rsidR="00146CCD">
        <w:t>im</w:t>
      </w:r>
      <w:r w:rsidR="00B46E51" w:rsidRPr="00A75F74">
        <w:t>a deteta.</w:t>
      </w:r>
    </w:p>
    <w:p w:rsidR="00C95C15" w:rsidRPr="00A75F74" w:rsidRDefault="00C95C15" w:rsidP="00C95C15">
      <w:pPr>
        <w:pStyle w:val="SingleTxtG"/>
      </w:pPr>
      <w:r w:rsidRPr="00A75F74">
        <w:t>52.</w:t>
      </w:r>
      <w:r w:rsidRPr="00A75F74">
        <w:tab/>
      </w:r>
      <w:r w:rsidR="008A3D0D" w:rsidRPr="00A75F74">
        <w:t xml:space="preserve">Države </w:t>
      </w:r>
      <w:proofErr w:type="spellStart"/>
      <w:r w:rsidR="008A3D0D" w:rsidRPr="00A75F74">
        <w:t>ugovornice</w:t>
      </w:r>
      <w:proofErr w:type="spellEnd"/>
      <w:r w:rsidR="008A3D0D" w:rsidRPr="00A75F74">
        <w:t xml:space="preserve"> treba da podstiču proizvodnju i širenje takvog sadržaja u </w:t>
      </w:r>
      <w:r w:rsidR="00146CCD">
        <w:t>različitim</w:t>
      </w:r>
      <w:r w:rsidR="008A3D0D" w:rsidRPr="00A75F74">
        <w:t xml:space="preserve"> format</w:t>
      </w:r>
      <w:r w:rsidR="00146CCD">
        <w:t>im</w:t>
      </w:r>
      <w:r w:rsidR="008A3D0D" w:rsidRPr="00A75F74">
        <w:t xml:space="preserve">a i iz više nacionalnih i međunarodnih izvora, </w:t>
      </w:r>
      <w:r w:rsidR="00146CCD" w:rsidRPr="00A75F74">
        <w:t>uključujući</w:t>
      </w:r>
      <w:r w:rsidR="008A3D0D" w:rsidRPr="00A75F74">
        <w:t xml:space="preserve"> novinske medije, emitere, muzeje, biblioteke i obrazovne, naučne i kulturne organizacije. On</w:t>
      </w:r>
      <w:r w:rsidR="00146CCD">
        <w:t>e</w:t>
      </w:r>
      <w:r w:rsidR="008A3D0D" w:rsidRPr="00A75F74">
        <w:t xml:space="preserve"> bi posebno trebalo da nastoje da poboljšaju pružanje raznolikog, pristupačnog i korisnog sadržaja za decu sa invaliditetom i decu koja pripadaju etničkim, jezičkim, </w:t>
      </w:r>
      <w:r w:rsidR="00146CCD">
        <w:t>autohtonim</w:t>
      </w:r>
      <w:r w:rsidR="008A3D0D" w:rsidRPr="00A75F74">
        <w:t xml:space="preserve"> i drugim manjinskim grupama. Sposobnost pristupa relevantnim informacijama na jezicima koje deca razumeju može imati značajan pozitivan uticaj na </w:t>
      </w:r>
      <w:r w:rsidR="00146CCD">
        <w:t>ravnopravnost</w:t>
      </w:r>
      <w:r w:rsidR="008A3D0D" w:rsidRPr="00A75F74">
        <w:t>.</w:t>
      </w:r>
      <w:r w:rsidR="00146CCD">
        <w:rPr>
          <w:rStyle w:val="FootnoteReference"/>
        </w:rPr>
        <w:footnoteReference w:id="27"/>
      </w:r>
    </w:p>
    <w:p w:rsidR="00BB1CAB" w:rsidRPr="00A75F74" w:rsidRDefault="00C95C15" w:rsidP="0066146F">
      <w:pPr>
        <w:pStyle w:val="SingleTxtG"/>
      </w:pPr>
      <w:r w:rsidRPr="00A75F74">
        <w:t>53.</w:t>
      </w:r>
      <w:r w:rsidRPr="00A75F74">
        <w:tab/>
      </w:r>
      <w:r w:rsidR="00D3434F" w:rsidRPr="00A75F74">
        <w:t xml:space="preserve">Države </w:t>
      </w:r>
      <w:proofErr w:type="spellStart"/>
      <w:r w:rsidR="00D3434F" w:rsidRPr="00A75F74">
        <w:t>ugovornice</w:t>
      </w:r>
      <w:proofErr w:type="spellEnd"/>
      <w:r w:rsidR="00D3434F" w:rsidRPr="00A75F74">
        <w:t xml:space="preserve"> treba da osiguraju da su sva deca informisana </w:t>
      </w:r>
      <w:r w:rsidR="00146CCD">
        <w:t xml:space="preserve">o </w:t>
      </w:r>
      <w:r w:rsidR="00146CCD" w:rsidRPr="00A75F74">
        <w:t>raznolik</w:t>
      </w:r>
      <w:r w:rsidR="00146CCD">
        <w:t>im</w:t>
      </w:r>
      <w:r w:rsidR="00146CCD" w:rsidRPr="00A75F74">
        <w:t xml:space="preserve"> i kvalitetn</w:t>
      </w:r>
      <w:r w:rsidR="00146CCD">
        <w:t>im</w:t>
      </w:r>
      <w:r w:rsidR="00146CCD" w:rsidRPr="00A75F74">
        <w:t xml:space="preserve"> informacij</w:t>
      </w:r>
      <w:r w:rsidR="00146CCD">
        <w:t>ama</w:t>
      </w:r>
      <w:r w:rsidR="00146CCD" w:rsidRPr="00A75F74">
        <w:t xml:space="preserve"> na </w:t>
      </w:r>
      <w:proofErr w:type="spellStart"/>
      <w:r w:rsidR="00146CCD" w:rsidRPr="00A75F74">
        <w:t>mreži</w:t>
      </w:r>
      <w:r w:rsidR="00D3434F" w:rsidRPr="00A75F74">
        <w:t>i</w:t>
      </w:r>
      <w:proofErr w:type="spellEnd"/>
      <w:r w:rsidR="00D3434F" w:rsidRPr="00A75F74">
        <w:t xml:space="preserve"> </w:t>
      </w:r>
      <w:r w:rsidR="00146CCD">
        <w:t xml:space="preserve">da ih </w:t>
      </w:r>
      <w:r w:rsidR="00D3434F" w:rsidRPr="00A75F74">
        <w:t xml:space="preserve">mogu lako </w:t>
      </w:r>
      <w:r w:rsidR="00146CCD" w:rsidRPr="00A75F74">
        <w:t>pronaći</w:t>
      </w:r>
      <w:r w:rsidR="00D3434F" w:rsidRPr="00A75F74">
        <w:t xml:space="preserve">, </w:t>
      </w:r>
      <w:r w:rsidR="00A06B40" w:rsidRPr="00A75F74">
        <w:t>uključujući</w:t>
      </w:r>
      <w:r w:rsidR="00D3434F" w:rsidRPr="00A75F74">
        <w:t xml:space="preserve"> sadržaje nezavisne od komercijalnih </w:t>
      </w:r>
      <w:r w:rsidR="007E5561" w:rsidRPr="00A75F74">
        <w:t xml:space="preserve">ili političkih interesa. Trebalo bi da obezbede </w:t>
      </w:r>
      <w:r w:rsidR="00A06B40">
        <w:t xml:space="preserve">da </w:t>
      </w:r>
      <w:r w:rsidR="00D3434F" w:rsidRPr="00A75F74">
        <w:t xml:space="preserve">automatizovano pretraživanje i filtriranje informacija, </w:t>
      </w:r>
      <w:proofErr w:type="spellStart"/>
      <w:r w:rsidR="00A06B40" w:rsidRPr="00A75F74">
        <w:t>uključujući</w:t>
      </w:r>
      <w:r w:rsidR="00D3434F" w:rsidRPr="00A06B40">
        <w:t>sisteme</w:t>
      </w:r>
      <w:proofErr w:type="spellEnd"/>
      <w:r w:rsidR="00D3434F" w:rsidRPr="00A06B40">
        <w:t xml:space="preserve"> preporuka, ne daju prioritet </w:t>
      </w:r>
      <w:r w:rsidR="00A06B40" w:rsidRPr="00A06B40">
        <w:t>plaćenim</w:t>
      </w:r>
      <w:r w:rsidR="00D3434F" w:rsidRPr="00A06B40">
        <w:t xml:space="preserve"> sadržajima sa komercijalnom ili političkom motivacijom nad dečijim izborima ili po cenu prava deteta na informacije.</w:t>
      </w:r>
    </w:p>
    <w:p w:rsidR="00BE1AFC" w:rsidRPr="00A75F74" w:rsidRDefault="00BE1AFC" w:rsidP="0066146F">
      <w:pPr>
        <w:pStyle w:val="SingleTxtG"/>
      </w:pPr>
      <w:r w:rsidRPr="00A75F74">
        <w:t>54.</w:t>
      </w:r>
      <w:r w:rsidRPr="00A75F74">
        <w:tab/>
        <w:t xml:space="preserve">Digitalno okruženje može uključivati rodno stereotipne, </w:t>
      </w:r>
      <w:proofErr w:type="spellStart"/>
      <w:r w:rsidRPr="00A75F74">
        <w:t>diskriminatorne</w:t>
      </w:r>
      <w:proofErr w:type="spellEnd"/>
      <w:r w:rsidRPr="00A75F74">
        <w:t xml:space="preserve">, rasističke, nasilne, pornografske i eksploatacione informacije, kao i lažne </w:t>
      </w:r>
      <w:proofErr w:type="spellStart"/>
      <w:r w:rsidRPr="00A75F74">
        <w:t>narative</w:t>
      </w:r>
      <w:proofErr w:type="spellEnd"/>
      <w:r w:rsidRPr="00A75F74">
        <w:t>, dezinformacije</w:t>
      </w:r>
      <w:r w:rsidR="00A06B40">
        <w:t>, kao</w:t>
      </w:r>
      <w:r w:rsidRPr="00A75F74">
        <w:t xml:space="preserve"> i informacije koje podstiču decu da se bave nezakonitim ili štetnim aktivnostima. Takve informacije mogu poticati iz više izvora, </w:t>
      </w:r>
      <w:r w:rsidR="00A06B40" w:rsidRPr="00A75F74">
        <w:t>uključujući</w:t>
      </w:r>
      <w:r w:rsidRPr="00A75F74">
        <w:t xml:space="preserve"> druge </w:t>
      </w:r>
      <w:r w:rsidRPr="00A75F74">
        <w:lastRenderedPageBreak/>
        <w:t>korisnike, kreatore komercijalnog sadržaja, seksualne prestupnike ili oružane grupe označene kao terorističke ili nasiln</w:t>
      </w:r>
      <w:r w:rsidR="00A06B40">
        <w:t>o</w:t>
      </w:r>
      <w:r w:rsidRPr="00A75F74">
        <w:t xml:space="preserve"> ekstremističke. Države </w:t>
      </w:r>
      <w:proofErr w:type="spellStart"/>
      <w:r w:rsidR="00772EA1" w:rsidRPr="00A75F74">
        <w:t>ugovornice</w:t>
      </w:r>
      <w:proofErr w:type="spellEnd"/>
      <w:r w:rsidR="00772EA1" w:rsidRPr="00A75F74">
        <w:t xml:space="preserve"> </w:t>
      </w:r>
      <w:r w:rsidRPr="00A75F74">
        <w:t xml:space="preserve">treba da zaštite decu od štetnog i nepouzdanog sadržaja i obezbede da relevantna </w:t>
      </w:r>
      <w:r w:rsidR="00A06B40" w:rsidRPr="00A75F74">
        <w:t>preduzeća</w:t>
      </w:r>
      <w:r w:rsidRPr="00A75F74">
        <w:t xml:space="preserve"> i drugi dobavljači digitalnog sadržaja razviju i primene smernice kojima </w:t>
      </w:r>
      <w:r w:rsidR="00A06B40" w:rsidRPr="00A75F74">
        <w:t>će</w:t>
      </w:r>
      <w:r w:rsidRPr="00A75F74">
        <w:t xml:space="preserve"> deci </w:t>
      </w:r>
      <w:r w:rsidR="00A06B40" w:rsidRPr="00A75F74">
        <w:t>omogućiti</w:t>
      </w:r>
      <w:r w:rsidRPr="00A75F74">
        <w:t xml:space="preserve"> bezbedan pristup raznovrsnim sadržajima, </w:t>
      </w:r>
      <w:proofErr w:type="spellStart"/>
      <w:r w:rsidR="00A06B40" w:rsidRPr="00A75F74">
        <w:t>priznajući</w:t>
      </w:r>
      <w:r w:rsidR="004D7B18">
        <w:t>prava</w:t>
      </w:r>
      <w:proofErr w:type="spellEnd"/>
      <w:r w:rsidR="004D7B18">
        <w:t xml:space="preserve"> </w:t>
      </w:r>
      <w:r w:rsidR="00A06B40">
        <w:t>deteta</w:t>
      </w:r>
      <w:r w:rsidR="00A06B40" w:rsidRPr="00A75F74">
        <w:t xml:space="preserve"> na</w:t>
      </w:r>
      <w:r w:rsidRPr="00A75F74">
        <w:t xml:space="preserve"> informacije i slobodu izražavanja, istovremeno ih </w:t>
      </w:r>
      <w:r w:rsidR="00A06B40" w:rsidRPr="00A75F74">
        <w:t>štiteći</w:t>
      </w:r>
      <w:r w:rsidRPr="00A75F74">
        <w:t xml:space="preserve"> od takvih štetnih materijala u skladu sa njihovim pravima i </w:t>
      </w:r>
      <w:r w:rsidR="007A1036">
        <w:t xml:space="preserve">razvojnim </w:t>
      </w:r>
      <w:r w:rsidRPr="00A75F74">
        <w:t>kapacitetima.</w:t>
      </w:r>
      <w:r w:rsidR="00A06B40">
        <w:rPr>
          <w:rStyle w:val="FootnoteReference"/>
        </w:rPr>
        <w:footnoteReference w:id="28"/>
      </w:r>
      <w:r w:rsidRPr="00A75F74">
        <w:t xml:space="preserve"> Sva ograničenja u radu bilo kog internet, elektronskog ili drugog sistema za širenje informacija treba da budu u skladu sa članom 13 Konvencije.</w:t>
      </w:r>
      <w:r w:rsidR="00A06B40">
        <w:rPr>
          <w:rStyle w:val="FootnoteReference"/>
        </w:rPr>
        <w:footnoteReference w:id="29"/>
      </w:r>
      <w:r w:rsidRPr="00A75F74">
        <w:t xml:space="preserve"> Države </w:t>
      </w:r>
      <w:proofErr w:type="spellStart"/>
      <w:r w:rsidR="00772EA1" w:rsidRPr="00A75F74">
        <w:t>ugovornice</w:t>
      </w:r>
      <w:proofErr w:type="spellEnd"/>
      <w:r w:rsidR="00772EA1" w:rsidRPr="00A75F74">
        <w:t xml:space="preserve"> </w:t>
      </w:r>
      <w:r w:rsidRPr="00A75F74">
        <w:t xml:space="preserve">ne bi trebalo da namerno ometaju ili </w:t>
      </w:r>
      <w:r w:rsidR="00A06B40" w:rsidRPr="00A75F74">
        <w:t>omogućavaju</w:t>
      </w:r>
      <w:r w:rsidRPr="00A75F74">
        <w:t xml:space="preserve"> drugim akterima da ometaju snabdevanje električnom energijom, </w:t>
      </w:r>
      <w:r w:rsidR="00A06B40">
        <w:t>mobilne</w:t>
      </w:r>
      <w:r w:rsidRPr="00A75F74">
        <w:t xml:space="preserve"> mre</w:t>
      </w:r>
      <w:r w:rsidR="00A06B40">
        <w:t>že</w:t>
      </w:r>
      <w:r w:rsidRPr="00A75F74">
        <w:t xml:space="preserve"> ili </w:t>
      </w:r>
      <w:r w:rsidR="00A06B40">
        <w:t>i</w:t>
      </w:r>
      <w:r w:rsidRPr="00A75F74">
        <w:t>nternet vez</w:t>
      </w:r>
      <w:r w:rsidR="00A06B40">
        <w:t>e</w:t>
      </w:r>
      <w:r w:rsidRPr="00A75F74">
        <w:t xml:space="preserve"> u bilo kom geografskom području, bilo delimično ili u celini, što može imati za posledicu ometanje pristupa </w:t>
      </w:r>
      <w:r w:rsidR="00A06B40">
        <w:t xml:space="preserve">dece </w:t>
      </w:r>
      <w:r w:rsidRPr="00A75F74">
        <w:t>informacijama i komunikaciji.</w:t>
      </w:r>
    </w:p>
    <w:p w:rsidR="0003756E" w:rsidRPr="00A75F74" w:rsidRDefault="0003756E" w:rsidP="0066146F">
      <w:pPr>
        <w:pStyle w:val="SingleTxtG"/>
      </w:pPr>
      <w:r w:rsidRPr="00A75F74">
        <w:t>55.</w:t>
      </w:r>
      <w:r w:rsidRPr="00A75F74">
        <w:tab/>
      </w:r>
      <w:r w:rsidR="006127C3" w:rsidRPr="00A75F74">
        <w:t xml:space="preserve">Države </w:t>
      </w:r>
      <w:proofErr w:type="spellStart"/>
      <w:r w:rsidR="006127C3" w:rsidRPr="00A75F74">
        <w:t>ugovornice</w:t>
      </w:r>
      <w:proofErr w:type="spellEnd"/>
      <w:r w:rsidR="006127C3" w:rsidRPr="00A75F74">
        <w:t xml:space="preserve"> treba da podstaknu </w:t>
      </w:r>
      <w:proofErr w:type="spellStart"/>
      <w:r w:rsidR="006127C3" w:rsidRPr="00A75F74">
        <w:t>pružaoce</w:t>
      </w:r>
      <w:proofErr w:type="spellEnd"/>
      <w:r w:rsidR="006127C3" w:rsidRPr="00A75F74">
        <w:t xml:space="preserve"> digitalnih usluga koje deca koriste da primenjuju koncizno i razumljivo obeležavanje sadržaja, na primer o primerenosti </w:t>
      </w:r>
      <w:r w:rsidR="00673D94">
        <w:t xml:space="preserve">za određeni </w:t>
      </w:r>
      <w:r w:rsidR="006127C3" w:rsidRPr="00A75F74">
        <w:t xml:space="preserve">uzrast ili verodostojnosti sadržaja. Takođe bi trebalo da podstiču </w:t>
      </w:r>
      <w:r w:rsidR="0009514F">
        <w:t>obezbeđivanje</w:t>
      </w:r>
      <w:r w:rsidR="006127C3" w:rsidRPr="00A75F74">
        <w:t xml:space="preserve"> dostupnih smernica, obuka, obrazovnih materijala i mehanizama izveštavanja</w:t>
      </w:r>
      <w:r w:rsidR="0009514F">
        <w:t>,</w:t>
      </w:r>
      <w:r w:rsidR="006127C3" w:rsidRPr="00A75F74">
        <w:t xml:space="preserve"> za decu, roditelje i </w:t>
      </w:r>
      <w:r w:rsidR="00F16666">
        <w:t>staraoce</w:t>
      </w:r>
      <w:r w:rsidR="006127C3" w:rsidRPr="00A75F74">
        <w:t>, vaspitače i relevantne profesionalne grupe.</w:t>
      </w:r>
      <w:r w:rsidR="0009514F">
        <w:rPr>
          <w:rStyle w:val="FootnoteReference"/>
        </w:rPr>
        <w:footnoteReference w:id="30"/>
      </w:r>
      <w:r w:rsidR="006127C3" w:rsidRPr="00A75F74">
        <w:t xml:space="preserve"> Sistemi </w:t>
      </w:r>
      <w:r w:rsidR="0009514F" w:rsidRPr="00A75F74">
        <w:t xml:space="preserve">dizajnirani </w:t>
      </w:r>
      <w:r w:rsidR="0009514F">
        <w:t xml:space="preserve"> prema</w:t>
      </w:r>
      <w:r w:rsidR="006127C3" w:rsidRPr="00A75F74">
        <w:t xml:space="preserve"> uzrastu ili sadržaju </w:t>
      </w:r>
      <w:r w:rsidR="0009514F">
        <w:t xml:space="preserve">tako </w:t>
      </w:r>
      <w:r w:rsidR="006127C3" w:rsidRPr="00A75F74">
        <w:t xml:space="preserve">da zaštite decu od sadržaja </w:t>
      </w:r>
      <w:r w:rsidR="0009514F" w:rsidRPr="00A75F74">
        <w:t xml:space="preserve">neprikladnog </w:t>
      </w:r>
      <w:proofErr w:type="spellStart"/>
      <w:r w:rsidR="0009514F" w:rsidRPr="00A75F74">
        <w:t>uzrast</w:t>
      </w:r>
      <w:r w:rsidR="0009514F">
        <w:t>u</w:t>
      </w:r>
      <w:r w:rsidR="006127C3" w:rsidRPr="00A75F74">
        <w:t>treba</w:t>
      </w:r>
      <w:proofErr w:type="spellEnd"/>
      <w:r w:rsidR="006127C3" w:rsidRPr="00A75F74">
        <w:t xml:space="preserve"> da budu u skladu sa principom minimiziranja podataka.</w:t>
      </w:r>
    </w:p>
    <w:p w:rsidR="004B7599" w:rsidRPr="00A75F74" w:rsidRDefault="004B7599" w:rsidP="004B7599">
      <w:pPr>
        <w:pStyle w:val="SingleTxtG"/>
      </w:pPr>
      <w:r w:rsidRPr="00A75F74">
        <w:t>56.</w:t>
      </w:r>
      <w:r w:rsidRPr="00A75F74">
        <w:tab/>
        <w:t xml:space="preserve">Države </w:t>
      </w:r>
      <w:proofErr w:type="spellStart"/>
      <w:r w:rsidR="00485288" w:rsidRPr="00A75F74">
        <w:t>ugovornice</w:t>
      </w:r>
      <w:proofErr w:type="spellEnd"/>
      <w:r w:rsidR="00485288" w:rsidRPr="00A75F74">
        <w:t xml:space="preserve"> </w:t>
      </w:r>
      <w:r w:rsidRPr="00A75F74">
        <w:t xml:space="preserve">treba da osiguraju da se </w:t>
      </w:r>
      <w:proofErr w:type="spellStart"/>
      <w:r w:rsidRPr="00A75F74">
        <w:t>pružaoci</w:t>
      </w:r>
      <w:proofErr w:type="spellEnd"/>
      <w:r w:rsidRPr="00A75F74">
        <w:t xml:space="preserve"> digitalnih usluga pridržavaju relevantnih smernica, standarda i kodeksa</w:t>
      </w:r>
      <w:r w:rsidR="00A315DC">
        <w:rPr>
          <w:rStyle w:val="FootnoteReference"/>
        </w:rPr>
        <w:footnoteReference w:id="31"/>
      </w:r>
      <w:r w:rsidRPr="00A75F74">
        <w:t xml:space="preserve"> i sprovode zakonita, neophodna i proporcionalna pravila moderiranja sadržaja. Kontrole sadržaja, </w:t>
      </w:r>
      <w:r w:rsidR="0009514F">
        <w:t xml:space="preserve">školski </w:t>
      </w:r>
      <w:r w:rsidRPr="00A75F74">
        <w:t xml:space="preserve">sistemi za filtriranje i druge tehnologije orijentisane na bezbednost ne bi trebalo da se koriste za ograničavanje pristupa dece informacijama u digitalnom okruženju; treba ih koristiti samo za sprečavanje priliva </w:t>
      </w:r>
      <w:r w:rsidR="0009514F" w:rsidRPr="00A75F74">
        <w:t xml:space="preserve">materijala </w:t>
      </w:r>
      <w:r w:rsidRPr="00A75F74">
        <w:t xml:space="preserve">štetnog </w:t>
      </w:r>
      <w:r w:rsidR="0009514F">
        <w:t xml:space="preserve">za </w:t>
      </w:r>
      <w:r w:rsidRPr="00A75F74">
        <w:t>dec</w:t>
      </w:r>
      <w:r w:rsidR="0009514F">
        <w:t>u</w:t>
      </w:r>
      <w:r w:rsidRPr="00A75F74">
        <w:t>. Moderiranje sadržaja i kontrole sadržaja treba da budu uravnoteženi sa pravom na zaštitu od kršenja drugih prava dece, posebno njihovih prava na slobodu izražavanja i privatnost.</w:t>
      </w:r>
    </w:p>
    <w:p w:rsidR="004B7599" w:rsidRPr="00A75F74" w:rsidRDefault="00277571" w:rsidP="0066146F">
      <w:pPr>
        <w:pStyle w:val="SingleTxtG"/>
      </w:pPr>
      <w:r w:rsidRPr="00A75F74">
        <w:t>57.</w:t>
      </w:r>
      <w:r w:rsidRPr="00A75F74">
        <w:tab/>
        <w:t xml:space="preserve">Profesionalni kodeksi ponašanja koje postavljaju novinski mediji i druge relevantne organizacije treba da sadrže smernice o tome kako prijaviti digitalne rizike i </w:t>
      </w:r>
      <w:proofErr w:type="spellStart"/>
      <w:r w:rsidR="0009514F" w:rsidRPr="00A75F74">
        <w:t>mogućnosti</w:t>
      </w:r>
      <w:r w:rsidR="0009514F">
        <w:t>koje</w:t>
      </w:r>
      <w:proofErr w:type="spellEnd"/>
      <w:r w:rsidR="0009514F">
        <w:t xml:space="preserve"> se odnose na</w:t>
      </w:r>
      <w:r w:rsidRPr="00A75F74">
        <w:t xml:space="preserve"> dec</w:t>
      </w:r>
      <w:r w:rsidR="0009514F">
        <w:t>u</w:t>
      </w:r>
      <w:r w:rsidRPr="00A75F74">
        <w:t>. Takva uputstva treba da rezultiraju izvešta</w:t>
      </w:r>
      <w:r w:rsidR="0009514F">
        <w:t>vanjem</w:t>
      </w:r>
      <w:r w:rsidRPr="00A75F74">
        <w:t xml:space="preserve"> zasnovanim na dokazima koji ne otkrivaju identitet dece koja su žrtve i </w:t>
      </w:r>
      <w:r w:rsidR="0009514F">
        <w:t xml:space="preserve">koja su </w:t>
      </w:r>
      <w:proofErr w:type="spellStart"/>
      <w:r w:rsidRPr="00A75F74">
        <w:t>preživela</w:t>
      </w:r>
      <w:r w:rsidR="0009514F">
        <w:t>,odnosno</w:t>
      </w:r>
      <w:r w:rsidR="0009514F" w:rsidRPr="00A75F74">
        <w:t>izvešta</w:t>
      </w:r>
      <w:r w:rsidR="0009514F">
        <w:t>vanjem</w:t>
      </w:r>
      <w:r w:rsidRPr="00A75F74">
        <w:t>u</w:t>
      </w:r>
      <w:proofErr w:type="spellEnd"/>
      <w:r w:rsidRPr="00A75F74">
        <w:t xml:space="preserve"> skladu sa međunarodnim standardima ljudskih prava.</w:t>
      </w:r>
    </w:p>
    <w:p w:rsidR="00784ADF" w:rsidRPr="00A75F74" w:rsidRDefault="00784ADF" w:rsidP="00784ADF">
      <w:pPr>
        <w:pStyle w:val="H1G"/>
      </w:pPr>
      <w:r w:rsidRPr="00A75F74">
        <w:tab/>
        <w:t>B.</w:t>
      </w:r>
      <w:r w:rsidRPr="00A75F74">
        <w:tab/>
      </w:r>
      <w:r w:rsidR="005A6FB9" w:rsidRPr="00A75F74">
        <w:t>Sloboda izražavanja</w:t>
      </w:r>
    </w:p>
    <w:p w:rsidR="00784ADF" w:rsidRPr="00A75F74" w:rsidRDefault="00784ADF" w:rsidP="00784ADF">
      <w:pPr>
        <w:pStyle w:val="SingleTxtG"/>
      </w:pPr>
      <w:r w:rsidRPr="00A75F74">
        <w:t>58.</w:t>
      </w:r>
      <w:r w:rsidRPr="00A75F74">
        <w:tab/>
      </w:r>
      <w:r w:rsidR="005A6FB9" w:rsidRPr="00A75F74">
        <w:t xml:space="preserve">Pravo dece na slobodu izražavanja uključuje slobodu traženja, primanja i prenošenja informacija i ideja svih vrsta, </w:t>
      </w:r>
      <w:r w:rsidR="0009514F">
        <w:t>korišćenjem</w:t>
      </w:r>
      <w:r w:rsidR="005A6FB9" w:rsidRPr="00A75F74">
        <w:t xml:space="preserve"> bilo ko</w:t>
      </w:r>
      <w:r w:rsidR="0009514F">
        <w:t>g</w:t>
      </w:r>
      <w:r w:rsidR="005A6FB9" w:rsidRPr="00A75F74">
        <w:t xml:space="preserve"> medij</w:t>
      </w:r>
      <w:r w:rsidR="0009514F">
        <w:t>a</w:t>
      </w:r>
      <w:r w:rsidR="005A6FB9" w:rsidRPr="00A75F74">
        <w:t xml:space="preserve"> po njihovom izboru. Deca su </w:t>
      </w:r>
      <w:r w:rsidR="0009514F">
        <w:t>izjavila</w:t>
      </w:r>
      <w:r w:rsidR="00A315DC">
        <w:rPr>
          <w:rStyle w:val="FootnoteReference"/>
        </w:rPr>
        <w:footnoteReference w:id="32"/>
      </w:r>
      <w:r w:rsidR="005A6FB9" w:rsidRPr="00A75F74">
        <w:t xml:space="preserve"> da </w:t>
      </w:r>
      <w:r w:rsidR="0009514F">
        <w:t xml:space="preserve">im </w:t>
      </w:r>
      <w:r w:rsidR="005A6FB9" w:rsidRPr="00A75F74">
        <w:t xml:space="preserve">digitalno okruženje nudi značajan </w:t>
      </w:r>
      <w:proofErr w:type="spellStart"/>
      <w:r w:rsidR="0009514F">
        <w:t>prostorz</w:t>
      </w:r>
      <w:r w:rsidR="005A6FB9" w:rsidRPr="00A75F74">
        <w:t>a</w:t>
      </w:r>
      <w:proofErr w:type="spellEnd"/>
      <w:r w:rsidR="005A6FB9" w:rsidRPr="00A75F74">
        <w:t xml:space="preserve"> </w:t>
      </w:r>
      <w:proofErr w:type="spellStart"/>
      <w:r w:rsidR="005A6FB9" w:rsidRPr="00A75F74">
        <w:t>izra</w:t>
      </w:r>
      <w:r w:rsidR="0009514F">
        <w:t>žavanjenjihovih</w:t>
      </w:r>
      <w:proofErr w:type="spellEnd"/>
      <w:r w:rsidR="005A6FB9" w:rsidRPr="00A75F74">
        <w:t xml:space="preserve"> idej</w:t>
      </w:r>
      <w:r w:rsidR="0009514F">
        <w:t>a</w:t>
      </w:r>
      <w:r w:rsidR="005A6FB9" w:rsidRPr="00A75F74">
        <w:t>, mišljenja i političk</w:t>
      </w:r>
      <w:r w:rsidR="0009514F">
        <w:t>ih</w:t>
      </w:r>
      <w:r w:rsidR="005A6FB9" w:rsidRPr="00A75F74">
        <w:t xml:space="preserve"> stavov</w:t>
      </w:r>
      <w:r w:rsidR="0009514F">
        <w:t>a</w:t>
      </w:r>
      <w:r w:rsidR="005A6FB9" w:rsidRPr="00A75F74">
        <w:t xml:space="preserve">. Za decu u nepovoljnim ili ranjivim situacijama, tehnološki olakšana interakcija sa drugima koji dele </w:t>
      </w:r>
      <w:r w:rsidR="00A315DC">
        <w:t>njihova</w:t>
      </w:r>
      <w:r w:rsidR="005A6FB9" w:rsidRPr="00A75F74">
        <w:t xml:space="preserve"> iskustva može im </w:t>
      </w:r>
      <w:r w:rsidR="00A315DC" w:rsidRPr="00A75F74">
        <w:t>pomoći</w:t>
      </w:r>
      <w:r w:rsidR="005A6FB9" w:rsidRPr="00A75F74">
        <w:t xml:space="preserve"> da se izraze.</w:t>
      </w:r>
    </w:p>
    <w:p w:rsidR="00784ADF" w:rsidRPr="00A75F74" w:rsidRDefault="00784ADF" w:rsidP="00784ADF">
      <w:pPr>
        <w:pStyle w:val="SingleTxtG"/>
      </w:pPr>
      <w:r w:rsidRPr="00A75F74">
        <w:t>59.</w:t>
      </w:r>
      <w:r w:rsidRPr="00A75F74">
        <w:tab/>
      </w:r>
      <w:r w:rsidR="00336105" w:rsidRPr="00A75F74">
        <w:t xml:space="preserve">Sva ograničenja prava deteta na slobodu izražavanja u digitalnom okruženju, poput filtera, </w:t>
      </w:r>
      <w:r w:rsidR="00A315DC" w:rsidRPr="00A75F74">
        <w:t>uključujući</w:t>
      </w:r>
      <w:r w:rsidR="00336105" w:rsidRPr="00A75F74">
        <w:t xml:space="preserve"> mere bezbednosti, trebalo bi da budu zakonita, neophodna i proporcionalna. Obrazloženje takvih ograničenja trebalo bi da bude transparentno i da se deci saopštava na jeziku prilagođenom uzrastu. Države </w:t>
      </w:r>
      <w:proofErr w:type="spellStart"/>
      <w:r w:rsidR="008B3F29" w:rsidRPr="00A75F74">
        <w:t>ugovornice</w:t>
      </w:r>
      <w:proofErr w:type="spellEnd"/>
      <w:r w:rsidR="008B3F29" w:rsidRPr="00A75F74">
        <w:t xml:space="preserve"> </w:t>
      </w:r>
      <w:r w:rsidR="00336105" w:rsidRPr="00A75F74">
        <w:t xml:space="preserve">treba da pruže deci </w:t>
      </w:r>
      <w:r w:rsidR="00336105" w:rsidRPr="00A75F74">
        <w:lastRenderedPageBreak/>
        <w:t xml:space="preserve">informacije i </w:t>
      </w:r>
      <w:r w:rsidR="00A315DC" w:rsidRPr="00A75F74">
        <w:t>mogućnosti</w:t>
      </w:r>
      <w:r w:rsidR="00336105" w:rsidRPr="00A75F74">
        <w:t xml:space="preserve"> za obuku o tome kako efikasno ostvariti to pravo, posebno kako bezbedno kreirati i deliti digitalni sadržaj, uz poštovanje prava i dostojanstva drugih i ne krše</w:t>
      </w:r>
      <w:r w:rsidR="00A315DC">
        <w:t>ći</w:t>
      </w:r>
      <w:r w:rsidR="00336105" w:rsidRPr="00A75F74">
        <w:t xml:space="preserve"> zakon</w:t>
      </w:r>
      <w:r w:rsidR="00A315DC">
        <w:t>e</w:t>
      </w:r>
      <w:r w:rsidR="00336105" w:rsidRPr="00A75F74">
        <w:t xml:space="preserve">, poput zakona koji se odnosi na </w:t>
      </w:r>
      <w:r w:rsidR="00A315DC">
        <w:t>podsticanje</w:t>
      </w:r>
      <w:r w:rsidR="00336105" w:rsidRPr="00A75F74">
        <w:t xml:space="preserve"> mržnje i nasilja.</w:t>
      </w:r>
    </w:p>
    <w:p w:rsidR="008B3F29" w:rsidRPr="00A75F74" w:rsidRDefault="008B3F29" w:rsidP="008B3F29">
      <w:pPr>
        <w:pStyle w:val="SingleTxtG"/>
      </w:pPr>
      <w:r w:rsidRPr="00A75F74">
        <w:t>60.</w:t>
      </w:r>
      <w:r w:rsidRPr="00A75F74">
        <w:tab/>
        <w:t xml:space="preserve">Kada deca izražavaju svoje političke ili druge stavove i identitete u digitalnom okruženju, mogu </w:t>
      </w:r>
      <w:r w:rsidR="00A315DC" w:rsidRPr="00A75F74">
        <w:t>privući</w:t>
      </w:r>
      <w:r w:rsidRPr="00A75F74">
        <w:t xml:space="preserve"> kritiku, neprijateljstvo, pretnje ili kaznu. Države </w:t>
      </w:r>
      <w:proofErr w:type="spellStart"/>
      <w:r w:rsidR="000B03B2" w:rsidRPr="00A75F74">
        <w:t>ugovornice</w:t>
      </w:r>
      <w:proofErr w:type="spellEnd"/>
      <w:r w:rsidR="000B03B2" w:rsidRPr="00A75F74">
        <w:t xml:space="preserve"> </w:t>
      </w:r>
      <w:r w:rsidRPr="00A75F74">
        <w:t xml:space="preserve">treba da zaštite decu od sajber agresije i pretnji, cenzure, </w:t>
      </w:r>
      <w:r w:rsidR="00A315DC">
        <w:t>nelegalnog pribavljanja</w:t>
      </w:r>
      <w:r w:rsidRPr="00A75F74">
        <w:t xml:space="preserve"> podataka i digitalnog nadzora. Decu ne bi trebalo </w:t>
      </w:r>
      <w:r w:rsidR="00A315DC">
        <w:t xml:space="preserve">krivično </w:t>
      </w:r>
      <w:r w:rsidRPr="00A75F74">
        <w:t>goniti zbog izražavanja mišljenja u digitalnom okruženju, osim ako ne krše ograničenja predviđena krivičnim zakonodavstvom koja su kompatibilna sa članom 13 Konvencije.</w:t>
      </w:r>
    </w:p>
    <w:p w:rsidR="008B3F29" w:rsidRPr="00A75F74" w:rsidRDefault="008B3F29" w:rsidP="00784ADF">
      <w:pPr>
        <w:pStyle w:val="SingleTxtG"/>
      </w:pPr>
      <w:r w:rsidRPr="00A75F74">
        <w:t>61.</w:t>
      </w:r>
      <w:r w:rsidRPr="00A75F74">
        <w:tab/>
      </w:r>
      <w:r w:rsidR="00FC5882" w:rsidRPr="00A75F74">
        <w:t xml:space="preserve">S obzirom na postojanje komercijalnih i političkih motiva za promociju određenih pogleda na svet, </w:t>
      </w:r>
      <w:r w:rsidR="00A315DC">
        <w:t>d</w:t>
      </w:r>
      <w:r w:rsidR="00FC5882" w:rsidRPr="00A75F74">
        <w:t xml:space="preserve">ržave </w:t>
      </w:r>
      <w:proofErr w:type="spellStart"/>
      <w:r w:rsidR="00FC5882" w:rsidRPr="00A75F74">
        <w:t>ugovornice</w:t>
      </w:r>
      <w:proofErr w:type="spellEnd"/>
      <w:r w:rsidR="00FC5882" w:rsidRPr="00A75F74">
        <w:t xml:space="preserve"> treba da osiguraju da upotrebe automatizovanih procesa filtriranja informacija, </w:t>
      </w:r>
      <w:proofErr w:type="spellStart"/>
      <w:r w:rsidR="00FC5882" w:rsidRPr="00A75F74">
        <w:t>profilisanja</w:t>
      </w:r>
      <w:proofErr w:type="spellEnd"/>
      <w:r w:rsidR="00FC5882" w:rsidRPr="00A75F74">
        <w:t>, marketinga i donošenja odluka ne zamenjuju, ne manipulišu ili ne ometaju sposobnost dece da formiraju i izraze svoje mišljenje u digitalnom okruženju.</w:t>
      </w:r>
    </w:p>
    <w:p w:rsidR="003138D1" w:rsidRPr="00A75F74" w:rsidRDefault="003138D1" w:rsidP="003138D1">
      <w:pPr>
        <w:pStyle w:val="H1G"/>
      </w:pPr>
      <w:r w:rsidRPr="00A75F74">
        <w:tab/>
        <w:t>C.</w:t>
      </w:r>
      <w:r w:rsidRPr="00A75F74">
        <w:tab/>
        <w:t>Sloboda misli, savesti i veroispovesti</w:t>
      </w:r>
    </w:p>
    <w:p w:rsidR="00B7305F" w:rsidRPr="00A75F74" w:rsidRDefault="003138D1" w:rsidP="003138D1">
      <w:pPr>
        <w:pStyle w:val="SingleTxtG"/>
      </w:pPr>
      <w:r w:rsidRPr="00A75F74">
        <w:t>62.</w:t>
      </w:r>
      <w:r w:rsidRPr="00A75F74">
        <w:tab/>
      </w:r>
      <w:r w:rsidR="00B7305F" w:rsidRPr="00A75F74">
        <w:t xml:space="preserve">Države </w:t>
      </w:r>
      <w:proofErr w:type="spellStart"/>
      <w:r w:rsidR="00B7305F" w:rsidRPr="00A75F74">
        <w:t>ugovornice</w:t>
      </w:r>
      <w:proofErr w:type="spellEnd"/>
      <w:r w:rsidR="00B7305F" w:rsidRPr="00A75F74">
        <w:t xml:space="preserve"> treba da poštuju pravo deteta na slobodu misli, savesti i veroispovesti u digitaln</w:t>
      </w:r>
      <w:r w:rsidR="00387C24" w:rsidRPr="00A75F74">
        <w:t xml:space="preserve">om okruženju. Komitet podstiče </w:t>
      </w:r>
      <w:r w:rsidR="00A315DC">
        <w:t>d</w:t>
      </w:r>
      <w:r w:rsidR="00B7305F" w:rsidRPr="00A75F74">
        <w:t xml:space="preserve">ržave </w:t>
      </w:r>
      <w:proofErr w:type="spellStart"/>
      <w:r w:rsidR="00387C24" w:rsidRPr="00A75F74">
        <w:t>ugovornice</w:t>
      </w:r>
      <w:proofErr w:type="spellEnd"/>
      <w:r w:rsidR="00387C24" w:rsidRPr="00A75F74">
        <w:t xml:space="preserve"> </w:t>
      </w:r>
      <w:r w:rsidR="00B7305F" w:rsidRPr="00A75F74">
        <w:t xml:space="preserve">da uvedu ili ažuriraju propise o zaštiti podataka i standarde dizajna koji identifikuju, definišu i zabranjuju prakse kojima se manipuliše ili ometa pravo dece na slobodu misli i verovanja u digitalnom okruženju, na primer emocionalnom analitikom ili zaključivanjem. Automatizovani sistemi mogu </w:t>
      </w:r>
      <w:r w:rsidR="00A315DC">
        <w:t xml:space="preserve">da </w:t>
      </w:r>
      <w:r w:rsidR="00B7305F" w:rsidRPr="00A75F74">
        <w:t>se korist</w:t>
      </w:r>
      <w:r w:rsidR="00A315DC">
        <w:t>e</w:t>
      </w:r>
      <w:r w:rsidR="00B7305F" w:rsidRPr="00A75F74">
        <w:t xml:space="preserve"> za zaključivanje o unutrašnjem stanju deteta. Treba osigurati da se automatizovani sistemi ili sistemi za filtriranje informacija ne koriste da bi uticali na dečje ponašanje ili emocije ili ograničili njihove </w:t>
      </w:r>
      <w:r w:rsidR="00A315DC" w:rsidRPr="00A75F74">
        <w:t>mogućnosti</w:t>
      </w:r>
      <w:r w:rsidR="00B7305F" w:rsidRPr="00A75F74">
        <w:t xml:space="preserve"> ili razvoj.</w:t>
      </w:r>
    </w:p>
    <w:p w:rsidR="003138D1" w:rsidRPr="00A75F74" w:rsidRDefault="003138D1" w:rsidP="00784ADF">
      <w:pPr>
        <w:pStyle w:val="SingleTxtG"/>
      </w:pPr>
      <w:r w:rsidRPr="00A75F74">
        <w:t>63.</w:t>
      </w:r>
      <w:r w:rsidRPr="00A75F74">
        <w:tab/>
      </w:r>
      <w:r w:rsidR="00387C24" w:rsidRPr="00A75F74">
        <w:t xml:space="preserve">Države </w:t>
      </w:r>
      <w:proofErr w:type="spellStart"/>
      <w:r w:rsidR="00FA09CA" w:rsidRPr="00A75F74">
        <w:t>ugovornice</w:t>
      </w:r>
      <w:proofErr w:type="spellEnd"/>
      <w:r w:rsidR="00FA09CA" w:rsidRPr="00A75F74">
        <w:t xml:space="preserve"> trebalo</w:t>
      </w:r>
      <w:r w:rsidR="00387C24" w:rsidRPr="00A75F74">
        <w:t xml:space="preserve"> bi</w:t>
      </w:r>
      <w:r w:rsidR="00FA09CA" w:rsidRPr="00A75F74">
        <w:t xml:space="preserve">  da osiguraju da d</w:t>
      </w:r>
      <w:r w:rsidR="00387C24" w:rsidRPr="00A75F74">
        <w:t>eca ne budu kažnja</w:t>
      </w:r>
      <w:r w:rsidR="00FA09CA" w:rsidRPr="00A75F74">
        <w:t>vana zbog svoje religije ili uv</w:t>
      </w:r>
      <w:r w:rsidR="00387C24" w:rsidRPr="00A75F74">
        <w:t xml:space="preserve">erenja ili da im se </w:t>
      </w:r>
      <w:proofErr w:type="spellStart"/>
      <w:r w:rsidR="00A315DC" w:rsidRPr="00A75F74">
        <w:t>budućemogućnosti</w:t>
      </w:r>
      <w:proofErr w:type="spellEnd"/>
      <w:r w:rsidR="00387C24" w:rsidRPr="00A75F74">
        <w:t xml:space="preserve"> na bilo koji drugi način ograničavaju. Ostvarivanje prava de</w:t>
      </w:r>
      <w:r w:rsidR="007F0013">
        <w:t>teta</w:t>
      </w:r>
      <w:r w:rsidR="00387C24" w:rsidRPr="00A75F74">
        <w:t xml:space="preserve"> na ispoljavanje svoje religije ili uverenja u digitalnom okruženju može biti podložno samo ograničenjima koja su zakonita, neophodna i proporcionalna.</w:t>
      </w:r>
    </w:p>
    <w:p w:rsidR="00F87BEC" w:rsidRPr="00A75F74" w:rsidRDefault="00F87BEC" w:rsidP="00F87BEC">
      <w:pPr>
        <w:pStyle w:val="H1G"/>
      </w:pPr>
      <w:r w:rsidRPr="00A75F74">
        <w:tab/>
        <w:t>D.</w:t>
      </w:r>
      <w:r w:rsidRPr="00A75F74">
        <w:tab/>
      </w:r>
      <w:r w:rsidR="007F0013">
        <w:t>Sloboda udruživanja i mirnog okupljanja</w:t>
      </w:r>
    </w:p>
    <w:p w:rsidR="00F87BEC" w:rsidRPr="00A75F74" w:rsidRDefault="00F87BEC" w:rsidP="00F87BEC">
      <w:pPr>
        <w:pStyle w:val="SingleTxtG"/>
      </w:pPr>
      <w:r w:rsidRPr="00A75F74">
        <w:t>64.</w:t>
      </w:r>
      <w:r w:rsidRPr="00A75F74">
        <w:tab/>
      </w:r>
      <w:r w:rsidR="00964907" w:rsidRPr="00A75F74">
        <w:t xml:space="preserve">Digitalno okruženje može deci </w:t>
      </w:r>
      <w:r w:rsidR="007F0013" w:rsidRPr="00A75F74">
        <w:t>omogućiti</w:t>
      </w:r>
      <w:r w:rsidR="00964907" w:rsidRPr="00A75F74">
        <w:t xml:space="preserve"> da formiraju svoj socijalni, verski, kulturni, etnički, seksualni i politički identitet i da učestvuju u povezanim zajednicama i na javnim prostorima za </w:t>
      </w:r>
      <w:r w:rsidR="007F0013">
        <w:t>raspravu</w:t>
      </w:r>
      <w:r w:rsidR="00964907" w:rsidRPr="00A75F74">
        <w:t>, kulturnu razmenu, socijalnu koheziju i različitost.</w:t>
      </w:r>
      <w:r w:rsidR="007F0013">
        <w:rPr>
          <w:rStyle w:val="FootnoteReference"/>
        </w:rPr>
        <w:footnoteReference w:id="33"/>
      </w:r>
      <w:r w:rsidR="00964907" w:rsidRPr="00A75F74">
        <w:t xml:space="preserve"> Deca su </w:t>
      </w:r>
      <w:r w:rsidR="007F0013">
        <w:t>izjavila</w:t>
      </w:r>
      <w:r w:rsidR="00964907" w:rsidRPr="00A75F74">
        <w:t xml:space="preserve"> da im digitalno okruženje pruža dragocene </w:t>
      </w:r>
      <w:r w:rsidR="007F0013" w:rsidRPr="00A75F74">
        <w:t>mogućnosti</w:t>
      </w:r>
      <w:r w:rsidR="00964907" w:rsidRPr="00A75F74">
        <w:t xml:space="preserve"> da se sretnu, </w:t>
      </w:r>
      <w:r w:rsidR="007F0013">
        <w:t xml:space="preserve">ostvare </w:t>
      </w:r>
      <w:r w:rsidR="00964907" w:rsidRPr="00A75F74">
        <w:t>razmen</w:t>
      </w:r>
      <w:r w:rsidR="007F0013">
        <w:t>u</w:t>
      </w:r>
      <w:r w:rsidR="00964907" w:rsidRPr="00A75F74">
        <w:t xml:space="preserve"> i </w:t>
      </w:r>
      <w:r w:rsidR="007F0013">
        <w:t>raspravljaju</w:t>
      </w:r>
      <w:r w:rsidR="00964907" w:rsidRPr="00A75F74">
        <w:t xml:space="preserve"> sa vršnjacima, donosiocima odluka i drugima koji dele njihova interesovanja.</w:t>
      </w:r>
      <w:r w:rsidR="007F0013">
        <w:rPr>
          <w:rStyle w:val="FootnoteReference"/>
        </w:rPr>
        <w:footnoteReference w:id="34"/>
      </w:r>
    </w:p>
    <w:p w:rsidR="00F87BEC" w:rsidRPr="00A75F74" w:rsidRDefault="00F87BEC" w:rsidP="00F87BEC">
      <w:pPr>
        <w:pStyle w:val="SingleTxtG"/>
      </w:pPr>
      <w:r w:rsidRPr="00A75F74">
        <w:t>65.</w:t>
      </w:r>
      <w:r w:rsidRPr="00A75F74">
        <w:tab/>
      </w:r>
      <w:r w:rsidR="003F4293" w:rsidRPr="00A75F74">
        <w:t xml:space="preserve">Države </w:t>
      </w:r>
      <w:proofErr w:type="spellStart"/>
      <w:r w:rsidR="003F4293" w:rsidRPr="00A75F74">
        <w:t>ugovornice</w:t>
      </w:r>
      <w:proofErr w:type="spellEnd"/>
      <w:r w:rsidR="003F4293" w:rsidRPr="00A75F74">
        <w:t xml:space="preserve"> treba da osiguraju da njihovi zakoni, propisi i politike štite pravo dece da učestvuju u organizacijama koje deluju delimično ili isključivo u digitalnom okruženju. Deca ne mogu imati ograničenja u ostvarivanju svog prava na slobodu udruživanja i mirnog okupljanja u digitalnom okruženju, osim </w:t>
      </w:r>
      <w:r w:rsidR="007F0013">
        <w:t>ograničenja</w:t>
      </w:r>
      <w:r w:rsidR="003F4293" w:rsidRPr="00A75F74">
        <w:t xml:space="preserve"> koja su zakonita, neophodna i proporcionalna.</w:t>
      </w:r>
      <w:r w:rsidR="00864FFA">
        <w:rPr>
          <w:rStyle w:val="FootnoteReference"/>
        </w:rPr>
        <w:footnoteReference w:id="35"/>
      </w:r>
      <w:r w:rsidR="003F4293" w:rsidRPr="00A75F74">
        <w:t xml:space="preserve"> Takvo </w:t>
      </w:r>
      <w:r w:rsidR="007F0013" w:rsidRPr="00A75F74">
        <w:t>učešće</w:t>
      </w:r>
      <w:r w:rsidR="003F4293" w:rsidRPr="00A75F74">
        <w:t xml:space="preserve"> samo po sebi ne bi trebalo da rezultira negativnim posledicama po tu decu, kao što su isključenje iz škole, ograničenje </w:t>
      </w:r>
      <w:r w:rsidR="003F4293" w:rsidRPr="00A75F74">
        <w:lastRenderedPageBreak/>
        <w:t xml:space="preserve">ili lišavanje </w:t>
      </w:r>
      <w:proofErr w:type="spellStart"/>
      <w:r w:rsidR="007F0013" w:rsidRPr="00A75F74">
        <w:t>budućihmogućnosti</w:t>
      </w:r>
      <w:proofErr w:type="spellEnd"/>
      <w:r w:rsidR="003F4293" w:rsidRPr="00A75F74">
        <w:t xml:space="preserve"> ili stvaranje policijskog profila. Takvo </w:t>
      </w:r>
      <w:r w:rsidR="007F0013" w:rsidRPr="00A75F74">
        <w:t>učešće</w:t>
      </w:r>
      <w:r w:rsidR="003F4293" w:rsidRPr="00A75F74">
        <w:t xml:space="preserve"> treba da bude sigurno, privatno i bez nadzora javnih ili privatnih subjekata.</w:t>
      </w:r>
    </w:p>
    <w:p w:rsidR="00F87BEC" w:rsidRPr="00A75F74" w:rsidRDefault="00F87BEC" w:rsidP="00F87BEC">
      <w:pPr>
        <w:pStyle w:val="SingleTxtG"/>
      </w:pPr>
      <w:r w:rsidRPr="00A75F74">
        <w:t>66.</w:t>
      </w:r>
      <w:r w:rsidRPr="00A75F74">
        <w:tab/>
      </w:r>
      <w:r w:rsidR="009D01E1" w:rsidRPr="00A75F74">
        <w:t xml:space="preserve">Javna vidljivost i </w:t>
      </w:r>
      <w:r w:rsidR="007F0013" w:rsidRPr="00A75F74">
        <w:t>mogućnosti</w:t>
      </w:r>
      <w:r w:rsidR="009D01E1" w:rsidRPr="00A75F74">
        <w:t xml:space="preserve"> umrežavanja u digitalnom okruženju takođe mogu podržati aktivizam koji vode deca i mogu osnažiti decu kao zagovornike ljudskih prava. Komitet prepoznaje da digitalno okruženje </w:t>
      </w:r>
      <w:r w:rsidR="007F0013" w:rsidRPr="00A75F74">
        <w:t>omogućava</w:t>
      </w:r>
      <w:r w:rsidR="009D01E1" w:rsidRPr="00A75F74">
        <w:t xml:space="preserve"> deci, </w:t>
      </w:r>
      <w:r w:rsidR="007F0013" w:rsidRPr="00A75F74">
        <w:t>uključujući</w:t>
      </w:r>
      <w:r w:rsidR="009D01E1" w:rsidRPr="00A75F74">
        <w:t xml:space="preserve"> decu zaštitnike ljudskih prava, kao i decu u osetljivim situacijama, da međusobno komuniciraju, zagovaraju svoja prava i osnivaju udruženja. Države </w:t>
      </w:r>
      <w:proofErr w:type="spellStart"/>
      <w:r w:rsidR="00867517" w:rsidRPr="00A75F74">
        <w:t>ugovornice</w:t>
      </w:r>
      <w:proofErr w:type="spellEnd"/>
      <w:r w:rsidR="00867517" w:rsidRPr="00A75F74">
        <w:t xml:space="preserve"> </w:t>
      </w:r>
      <w:r w:rsidR="009D01E1" w:rsidRPr="00A75F74">
        <w:t xml:space="preserve">treba da ih podrže, </w:t>
      </w:r>
      <w:r w:rsidR="007F0013">
        <w:t xml:space="preserve">što </w:t>
      </w:r>
      <w:proofErr w:type="spellStart"/>
      <w:r w:rsidR="007F0013" w:rsidRPr="00A75F74">
        <w:t>uključuj</w:t>
      </w:r>
      <w:r w:rsidR="007F0013">
        <w:t>e</w:t>
      </w:r>
      <w:r w:rsidR="007F0013" w:rsidRPr="00A75F74">
        <w:t>omogućavanje</w:t>
      </w:r>
      <w:proofErr w:type="spellEnd"/>
      <w:r w:rsidR="009D01E1" w:rsidRPr="00A75F74">
        <w:t xml:space="preserve"> stvaranja određenih digitalnih prostora, i da im osiguraju sigurnost.</w:t>
      </w:r>
    </w:p>
    <w:p w:rsidR="000927BB" w:rsidRPr="00A75F74" w:rsidRDefault="000927BB" w:rsidP="000927BB">
      <w:pPr>
        <w:pStyle w:val="H1G"/>
      </w:pPr>
      <w:r w:rsidRPr="00A75F74">
        <w:tab/>
        <w:t>E.</w:t>
      </w:r>
      <w:r w:rsidRPr="00A75F74">
        <w:tab/>
      </w:r>
      <w:r w:rsidR="00625BC5" w:rsidRPr="00A75F74">
        <w:t>Pravo na privatnost</w:t>
      </w:r>
    </w:p>
    <w:p w:rsidR="000927BB" w:rsidRPr="00A75F74" w:rsidRDefault="000927BB" w:rsidP="000927BB">
      <w:pPr>
        <w:pStyle w:val="SingleTxtG"/>
      </w:pPr>
      <w:bookmarkStart w:id="6" w:name="_Toc36165146"/>
      <w:bookmarkStart w:id="7" w:name="_Toc36165147"/>
      <w:bookmarkStart w:id="8" w:name="_Toc36165148"/>
      <w:bookmarkStart w:id="9" w:name="_Toc36165149"/>
      <w:bookmarkStart w:id="10" w:name="_Toc36165150"/>
      <w:bookmarkStart w:id="11" w:name="_Toc36165151"/>
      <w:bookmarkStart w:id="12" w:name="_Toc36165153"/>
      <w:bookmarkEnd w:id="6"/>
      <w:bookmarkEnd w:id="7"/>
      <w:bookmarkEnd w:id="8"/>
      <w:bookmarkEnd w:id="9"/>
      <w:bookmarkEnd w:id="10"/>
      <w:bookmarkEnd w:id="11"/>
      <w:bookmarkEnd w:id="12"/>
      <w:r w:rsidRPr="00A75F74">
        <w:t>67.</w:t>
      </w:r>
      <w:r w:rsidRPr="00A75F74">
        <w:tab/>
      </w:r>
      <w:r w:rsidR="00796FF6" w:rsidRPr="00A75F74">
        <w:t xml:space="preserve">Privatnost je od vitalnog značaja za </w:t>
      </w:r>
      <w:r w:rsidR="007F0013">
        <w:t xml:space="preserve">aktivnosti </w:t>
      </w:r>
      <w:r w:rsidR="00796FF6" w:rsidRPr="00A75F74">
        <w:t>de</w:t>
      </w:r>
      <w:r w:rsidR="007F0013">
        <w:t>ce</w:t>
      </w:r>
      <w:r w:rsidR="00796FF6" w:rsidRPr="00A75F74">
        <w:t xml:space="preserve">, </w:t>
      </w:r>
      <w:r w:rsidR="007F0013">
        <w:t xml:space="preserve">njihovo </w:t>
      </w:r>
      <w:r w:rsidR="00796FF6" w:rsidRPr="00A75F74">
        <w:t>dostojanstvo i sigurnost</w:t>
      </w:r>
      <w:r w:rsidR="007F0013">
        <w:t>, kao</w:t>
      </w:r>
      <w:r w:rsidR="00796FF6" w:rsidRPr="00A75F74">
        <w:t xml:space="preserve"> i za ostvarivanje njihovih prava. Lični podaci dece obrađuju se kako bi im se pružile obrazovne, zdravstvene i druge </w:t>
      </w:r>
      <w:r w:rsidR="007F0013">
        <w:t>pogodnosti</w:t>
      </w:r>
      <w:r w:rsidR="00796FF6" w:rsidRPr="00A75F74">
        <w:t xml:space="preserve">. Pretnje privatnosti dece mogu nastati prikupljanjem i obradom podataka od strane javnih institucija, </w:t>
      </w:r>
      <w:r w:rsidR="007F0013" w:rsidRPr="00A75F74">
        <w:t>preduzeća</w:t>
      </w:r>
      <w:r w:rsidR="00796FF6" w:rsidRPr="00A75F74">
        <w:t xml:space="preserve"> i drugih organizacija, kao i od kriminalnih aktivnosti kao što je krađa identiteta. Pretnje mogu nastati i zbog sopstvenih aktivnosti dece i aktivnosti članova porodice, vršnjaka ili drugih, na primer, ako roditelji dele fotografije na mreži ili stranac deli informacije o detetu.</w:t>
      </w:r>
    </w:p>
    <w:p w:rsidR="000927BB" w:rsidRPr="00A75F74" w:rsidRDefault="000927BB" w:rsidP="00F87BEC">
      <w:pPr>
        <w:pStyle w:val="SingleTxtG"/>
      </w:pPr>
      <w:r w:rsidRPr="00A75F74">
        <w:t>68.</w:t>
      </w:r>
      <w:r w:rsidRPr="00A75F74">
        <w:tab/>
      </w:r>
      <w:r w:rsidR="00CD7519" w:rsidRPr="00A75F74">
        <w:t xml:space="preserve">Podaci mogu, između ostalog, sadržati informacije o dečjem identitetu, aktivnostima, lokaciji, komunikaciji, emocijama, zdravlju i vezama. Određene kombinacije ličnih podataka, </w:t>
      </w:r>
      <w:proofErr w:type="spellStart"/>
      <w:r w:rsidR="007F0013" w:rsidRPr="00A75F74">
        <w:t>uključujući</w:t>
      </w:r>
      <w:r w:rsidR="00CD7519" w:rsidRPr="00A75F74">
        <w:t>biometrijske</w:t>
      </w:r>
      <w:proofErr w:type="spellEnd"/>
      <w:r w:rsidR="00CD7519" w:rsidRPr="00A75F74">
        <w:t xml:space="preserve"> podatke, mogu jedinstveno identifikovati dete. Digitalne prakse, kao što su automatizovana obrada podataka, </w:t>
      </w:r>
      <w:proofErr w:type="spellStart"/>
      <w:r w:rsidR="00CD7519" w:rsidRPr="00A75F74">
        <w:t>profilisanje</w:t>
      </w:r>
      <w:proofErr w:type="spellEnd"/>
      <w:r w:rsidR="00CD7519" w:rsidRPr="00A75F74">
        <w:t>, ciljanje ponašanja, obavezna verifikacija identiteta, filtriranje informacija i masovni nadzor postaju rutina. Takva praksa može dovesti do proizvoljnog ili nezakonitog mešanja u pravo dece na privatnost; mogu imati štetne posledice na decu, što može da utiče na njih u kasnijim fazama njihovog života.</w:t>
      </w:r>
    </w:p>
    <w:p w:rsidR="00ED5147" w:rsidRPr="00A75F74" w:rsidRDefault="00ED5147" w:rsidP="00ED5147">
      <w:pPr>
        <w:pStyle w:val="SingleTxtG"/>
      </w:pPr>
      <w:r w:rsidRPr="00A75F74">
        <w:t>69.</w:t>
      </w:r>
      <w:r w:rsidRPr="00A75F74">
        <w:tab/>
        <w:t xml:space="preserve">Ometanje privatnosti deteta dozvoljeno je samo ako nije ni proizvoljno ni nezakonito. Svako takvo uplitanje stoga treba da bude predviđeno zakonom, s ciljem da služi legitimnoj svrsi, pridržava se principa </w:t>
      </w:r>
      <w:proofErr w:type="spellStart"/>
      <w:r w:rsidRPr="00A75F74">
        <w:t>minimizacije</w:t>
      </w:r>
      <w:proofErr w:type="spellEnd"/>
      <w:r w:rsidRPr="00A75F74">
        <w:t xml:space="preserve"> podataka, </w:t>
      </w:r>
      <w:r w:rsidR="00B10CDC">
        <w:t xml:space="preserve">i </w:t>
      </w:r>
      <w:r w:rsidRPr="00A75F74">
        <w:t xml:space="preserve">mora biti srazmerno i dizajnirano da poštuje najbolji interes </w:t>
      </w:r>
      <w:proofErr w:type="spellStart"/>
      <w:r w:rsidRPr="00A75F74">
        <w:t>deteta</w:t>
      </w:r>
      <w:r w:rsidR="00B10CDC">
        <w:t>,a</w:t>
      </w:r>
      <w:proofErr w:type="spellEnd"/>
      <w:r w:rsidRPr="00A75F74">
        <w:t xml:space="preserve"> ne sme biti u suprotnosti sa odredbama ili ciljevima Konvenci</w:t>
      </w:r>
      <w:r w:rsidR="00B10CDC">
        <w:t>je</w:t>
      </w:r>
      <w:r w:rsidRPr="00A75F74">
        <w:t>.</w:t>
      </w:r>
    </w:p>
    <w:p w:rsidR="00ED5147" w:rsidRPr="00A75F74" w:rsidRDefault="00ED5147" w:rsidP="00ED5147">
      <w:pPr>
        <w:pStyle w:val="SingleTxtG"/>
      </w:pPr>
      <w:r w:rsidRPr="00A75F74">
        <w:t>70.</w:t>
      </w:r>
      <w:r w:rsidRPr="00A75F74">
        <w:tab/>
      </w:r>
      <w:r w:rsidR="000072FE" w:rsidRPr="00A75F74">
        <w:t xml:space="preserve">Države </w:t>
      </w:r>
      <w:proofErr w:type="spellStart"/>
      <w:r w:rsidR="000072FE" w:rsidRPr="00A75F74">
        <w:t>ugovornice</w:t>
      </w:r>
      <w:proofErr w:type="spellEnd"/>
      <w:r w:rsidR="000072FE" w:rsidRPr="00A75F74">
        <w:t xml:space="preserve"> treba da preduzmu zakonodavne, administrativne i druge mere kako bi osigurale da privatnost dece poštuju i štite sve organizacije i u svim sredinama koje obrađuju njihove podatke. Zakonodavstvo treba da uključuje jake zaštitne mere, transparentnost, ne</w:t>
      </w:r>
      <w:r w:rsidR="00B10CDC">
        <w:t>za</w:t>
      </w:r>
      <w:r w:rsidR="000072FE" w:rsidRPr="00A75F74">
        <w:t xml:space="preserve">visan nadzor i pristup </w:t>
      </w:r>
      <w:r w:rsidR="00B10CDC">
        <w:t>korektivnim merama</w:t>
      </w:r>
      <w:r w:rsidR="000072FE" w:rsidRPr="00A75F74">
        <w:t xml:space="preserve">. Države </w:t>
      </w:r>
      <w:proofErr w:type="spellStart"/>
      <w:r w:rsidR="000072FE" w:rsidRPr="00A75F74">
        <w:t>ugovornice</w:t>
      </w:r>
      <w:proofErr w:type="spellEnd"/>
      <w:r w:rsidR="000072FE" w:rsidRPr="00A75F74">
        <w:t xml:space="preserve"> treba da zahtevaju integrisanje dizajna privatnosti u digitalne proizvode i usluge koji utiču na decu. </w:t>
      </w:r>
      <w:r w:rsidR="00B10CDC">
        <w:t>One t</w:t>
      </w:r>
      <w:r w:rsidR="000072FE" w:rsidRPr="00A75F74">
        <w:t xml:space="preserve">reba redovno </w:t>
      </w:r>
      <w:r w:rsidR="00B10CDC">
        <w:t>da preispituju</w:t>
      </w:r>
      <w:r w:rsidR="000072FE" w:rsidRPr="00A75F74">
        <w:t xml:space="preserve"> zakone o privatnosti i zaštiti podataka i osigura</w:t>
      </w:r>
      <w:r w:rsidR="00B10CDC">
        <w:t>ju</w:t>
      </w:r>
      <w:r w:rsidR="000072FE" w:rsidRPr="00A75F74">
        <w:t xml:space="preserve"> da postupci i prakse sprečavaju namerno ili slučajno kršenje privatnosti dece. Tamo gde se šifrovanje smatra </w:t>
      </w:r>
      <w:r w:rsidR="00B10CDC" w:rsidRPr="00A75F74">
        <w:t>odgovarajućim</w:t>
      </w:r>
      <w:r w:rsidR="000072FE" w:rsidRPr="00A75F74">
        <w:t xml:space="preserve"> sredstvom, države </w:t>
      </w:r>
      <w:proofErr w:type="spellStart"/>
      <w:r w:rsidR="000072FE" w:rsidRPr="00A75F74">
        <w:t>ugovornice</w:t>
      </w:r>
      <w:proofErr w:type="spellEnd"/>
      <w:r w:rsidR="000072FE" w:rsidRPr="00A75F74">
        <w:t xml:space="preserve"> treba da razmotre </w:t>
      </w:r>
      <w:r w:rsidR="00B10CDC" w:rsidRPr="00A75F74">
        <w:t>odgovarajuće</w:t>
      </w:r>
      <w:r w:rsidR="000072FE" w:rsidRPr="00A75F74">
        <w:t xml:space="preserve"> mere koje </w:t>
      </w:r>
      <w:r w:rsidR="00B10CDC" w:rsidRPr="00A75F74">
        <w:t>omogućavaju</w:t>
      </w:r>
      <w:r w:rsidR="000072FE" w:rsidRPr="00A75F74">
        <w:t xml:space="preserve"> otkrivanje i prijavljivanje </w:t>
      </w:r>
      <w:proofErr w:type="spellStart"/>
      <w:r w:rsidR="000072FE" w:rsidRPr="00A75F74">
        <w:t>seksualno</w:t>
      </w:r>
      <w:r w:rsidR="00B10CDC">
        <w:t>g</w:t>
      </w:r>
      <w:r w:rsidR="00B10CDC" w:rsidRPr="00A75F74">
        <w:t>iskorišćavanj</w:t>
      </w:r>
      <w:r w:rsidR="00B10CDC">
        <w:t>a</w:t>
      </w:r>
      <w:proofErr w:type="spellEnd"/>
      <w:r w:rsidR="000072FE" w:rsidRPr="00A75F74">
        <w:t xml:space="preserve"> i </w:t>
      </w:r>
      <w:r w:rsidR="00B10CDC">
        <w:t>zloupotrebe</w:t>
      </w:r>
      <w:r w:rsidR="000072FE" w:rsidRPr="00A75F74">
        <w:t xml:space="preserve"> dece ili </w:t>
      </w:r>
      <w:r w:rsidR="00B10CDC" w:rsidRPr="00A75F74">
        <w:t xml:space="preserve">materijala za </w:t>
      </w:r>
      <w:proofErr w:type="spellStart"/>
      <w:r w:rsidR="000072FE" w:rsidRPr="00A75F74">
        <w:t>seksualn</w:t>
      </w:r>
      <w:r w:rsidR="00B10CDC">
        <w:t>uzloupotrebu</w:t>
      </w:r>
      <w:proofErr w:type="spellEnd"/>
      <w:r w:rsidR="000072FE" w:rsidRPr="00A75F74">
        <w:t xml:space="preserve"> dece. Takve mere moraju biti strogo ograničene u skladu sa principima zakonitosti, neophodnosti i proporcionalnosti.</w:t>
      </w:r>
    </w:p>
    <w:p w:rsidR="006413DD" w:rsidRPr="00A75F74" w:rsidRDefault="003B2064" w:rsidP="003B2064">
      <w:pPr>
        <w:pStyle w:val="SingleTxtG"/>
      </w:pPr>
      <w:r w:rsidRPr="00A75F74">
        <w:t>71.</w:t>
      </w:r>
      <w:r w:rsidRPr="00A75F74">
        <w:tab/>
      </w:r>
      <w:r w:rsidR="006413DD" w:rsidRPr="00A75F74">
        <w:t xml:space="preserve">Kada se traži saglasnost za obradu podataka o detetu, </w:t>
      </w:r>
      <w:r w:rsidR="00864FFA">
        <w:t>d</w:t>
      </w:r>
      <w:r w:rsidR="006413DD" w:rsidRPr="00A75F74">
        <w:t xml:space="preserve">ržave </w:t>
      </w:r>
      <w:proofErr w:type="spellStart"/>
      <w:r w:rsidR="006413DD" w:rsidRPr="00A75F74">
        <w:t>ugovornice</w:t>
      </w:r>
      <w:proofErr w:type="spellEnd"/>
      <w:r w:rsidR="006413DD" w:rsidRPr="00A75F74">
        <w:t xml:space="preserve"> treba da obezbede da dete saglasnost daje slobodno</w:t>
      </w:r>
      <w:r w:rsidR="00864FFA">
        <w:t xml:space="preserve"> i na osnovu raspoloživih informacija</w:t>
      </w:r>
      <w:r w:rsidR="006413DD" w:rsidRPr="00A75F74">
        <w:t xml:space="preserve">, ili, u zavisnosti od starosti deteta i njegovih razvojnih </w:t>
      </w:r>
      <w:r w:rsidR="00864FFA" w:rsidRPr="00A75F74">
        <w:t>mogućnosti</w:t>
      </w:r>
      <w:r w:rsidR="006413DD" w:rsidRPr="00A75F74">
        <w:t xml:space="preserve">, </w:t>
      </w:r>
      <w:r w:rsidR="00864FFA">
        <w:t xml:space="preserve">to učini </w:t>
      </w:r>
      <w:r w:rsidR="006413DD" w:rsidRPr="00A75F74">
        <w:t xml:space="preserve">roditelj ili </w:t>
      </w:r>
      <w:r w:rsidR="00F16666">
        <w:t>staralac</w:t>
      </w:r>
      <w:r w:rsidR="00864FFA">
        <w:t>,</w:t>
      </w:r>
      <w:r w:rsidR="006413DD" w:rsidRPr="00A75F74">
        <w:t xml:space="preserve"> i da </w:t>
      </w:r>
      <w:proofErr w:type="spellStart"/>
      <w:r w:rsidR="00864FFA">
        <w:t>s</w:t>
      </w:r>
      <w:r w:rsidR="006413DD" w:rsidRPr="00A75F74">
        <w:t>e</w:t>
      </w:r>
      <w:r w:rsidR="00864FFA" w:rsidRPr="00A75F74">
        <w:t>saglasnost</w:t>
      </w:r>
      <w:proofErr w:type="spellEnd"/>
      <w:r w:rsidR="00864FFA" w:rsidRPr="00A75F74">
        <w:t xml:space="preserve"> </w:t>
      </w:r>
      <w:r w:rsidR="006413DD" w:rsidRPr="00A75F74">
        <w:t xml:space="preserve">dobije pre obrade tih podataka. Kada se smatra da je saglasnost deteta nedovoljna, </w:t>
      </w:r>
      <w:r w:rsidR="00864FFA">
        <w:t xml:space="preserve">te da je </w:t>
      </w:r>
      <w:r w:rsidR="006413DD" w:rsidRPr="00A75F74">
        <w:t xml:space="preserve">za obradu ličnih podataka deteta potrebna saglasnost roditelja, države potpisnice treba da zahtevaju da organizacije koje obrađuju takve podatke potvrde da je </w:t>
      </w:r>
      <w:r w:rsidR="006413DD" w:rsidRPr="00A75F74">
        <w:lastRenderedPageBreak/>
        <w:t xml:space="preserve">saglasnost </w:t>
      </w:r>
      <w:r w:rsidR="00864FFA">
        <w:t>data na osnovu raspoloživih informacija</w:t>
      </w:r>
      <w:r w:rsidR="006413DD" w:rsidRPr="00A75F74">
        <w:t xml:space="preserve">, </w:t>
      </w:r>
      <w:r w:rsidR="00864FFA">
        <w:t>da je smisaona,</w:t>
      </w:r>
      <w:r w:rsidR="006413DD" w:rsidRPr="00A75F74">
        <w:t xml:space="preserve"> i da je daje detetov roditelj ili </w:t>
      </w:r>
      <w:r w:rsidR="00F16666">
        <w:t>staralac</w:t>
      </w:r>
      <w:r w:rsidR="006413DD" w:rsidRPr="00A75F74">
        <w:t>.</w:t>
      </w:r>
    </w:p>
    <w:p w:rsidR="005E55ED" w:rsidRPr="00A75F74" w:rsidRDefault="003B2064" w:rsidP="003B2064">
      <w:pPr>
        <w:pStyle w:val="SingleTxtG"/>
      </w:pPr>
      <w:r w:rsidRPr="00A75F74">
        <w:t>72.</w:t>
      </w:r>
      <w:r w:rsidRPr="00A75F74">
        <w:tab/>
      </w:r>
      <w:r w:rsidR="005E55ED" w:rsidRPr="00A75F74">
        <w:t xml:space="preserve">Države </w:t>
      </w:r>
      <w:proofErr w:type="spellStart"/>
      <w:r w:rsidR="005E55ED" w:rsidRPr="00A75F74">
        <w:t>ugovornice</w:t>
      </w:r>
      <w:proofErr w:type="spellEnd"/>
      <w:r w:rsidR="005E55ED" w:rsidRPr="00A75F74">
        <w:t xml:space="preserve"> treba da obezbede da deca i njihovi roditelji ili </w:t>
      </w:r>
      <w:r w:rsidR="00F16666">
        <w:t>staraoci</w:t>
      </w:r>
      <w:r w:rsidR="005E55ED" w:rsidRPr="00A75F74">
        <w:t xml:space="preserve"> mogu lako pristupiti uskladištenim podacima, ispraviti podatke koji su netačni ili zastareli i izbrisati podatke koje nezakonito ili nepotrebno čuvaju javni organi, privatna lica ili druga tela, </w:t>
      </w:r>
      <w:r w:rsidR="00F16666">
        <w:t>shodno</w:t>
      </w:r>
      <w:r w:rsidR="005E55ED" w:rsidRPr="00A75F74">
        <w:t xml:space="preserve"> razumnim i zakonitim ograničenjima.</w:t>
      </w:r>
      <w:r w:rsidR="00F16666">
        <w:rPr>
          <w:rStyle w:val="FootnoteReference"/>
        </w:rPr>
        <w:footnoteReference w:id="36"/>
      </w:r>
      <w:r w:rsidR="005E55ED" w:rsidRPr="00A75F74">
        <w:t xml:space="preserve"> Dalje bi trebalo da obezbede pravo dece da povuku svoj pristanak i usprotive se obradi ličnih podataka tamo gde </w:t>
      </w:r>
      <w:r w:rsidR="00F16666">
        <w:t xml:space="preserve">onaj ko </w:t>
      </w:r>
      <w:r w:rsidR="005E55ED" w:rsidRPr="00A75F74">
        <w:t>kontrol</w:t>
      </w:r>
      <w:r w:rsidR="00F16666">
        <w:t>iše</w:t>
      </w:r>
      <w:r w:rsidR="005E55ED" w:rsidRPr="00A75F74">
        <w:t xml:space="preserve"> podat</w:t>
      </w:r>
      <w:r w:rsidR="00F16666">
        <w:t>ke</w:t>
      </w:r>
      <w:r w:rsidR="005E55ED" w:rsidRPr="00A75F74">
        <w:t xml:space="preserve"> ne pokaže legitimne, </w:t>
      </w:r>
      <w:r w:rsidR="00F16666">
        <w:t>preovlađujuće</w:t>
      </w:r>
      <w:r w:rsidR="005E55ED" w:rsidRPr="00A75F74">
        <w:t xml:space="preserve"> razloge za obradu. On</w:t>
      </w:r>
      <w:r w:rsidR="00F16666">
        <w:t>e</w:t>
      </w:r>
      <w:r w:rsidR="005E55ED" w:rsidRPr="00A75F74">
        <w:t xml:space="preserve"> takođe treba</w:t>
      </w:r>
      <w:r w:rsidR="00F16666">
        <w:t xml:space="preserve"> da</w:t>
      </w:r>
      <w:r w:rsidR="005E55ED" w:rsidRPr="00A75F74">
        <w:t xml:space="preserve"> pruž</w:t>
      </w:r>
      <w:r w:rsidR="00F16666">
        <w:t>e</w:t>
      </w:r>
      <w:r w:rsidR="005E55ED" w:rsidRPr="00A75F74">
        <w:t xml:space="preserve"> informacije deci, roditeljima i </w:t>
      </w:r>
      <w:r w:rsidR="00864FFA">
        <w:t>staraocima</w:t>
      </w:r>
      <w:r w:rsidR="005E55ED" w:rsidRPr="00A75F74">
        <w:t xml:space="preserve"> o takvim pitanjima, na jeziku prilagođenom deci i u pristupačnim formatima.</w:t>
      </w:r>
    </w:p>
    <w:p w:rsidR="00F87BEC" w:rsidRPr="00A75F74" w:rsidRDefault="003B2064" w:rsidP="003B2064">
      <w:pPr>
        <w:pStyle w:val="SingleTxtG"/>
      </w:pPr>
      <w:r w:rsidRPr="00A75F74">
        <w:t>73.</w:t>
      </w:r>
      <w:r w:rsidRPr="00A75F74">
        <w:tab/>
      </w:r>
      <w:r w:rsidR="00BA7427" w:rsidRPr="00A75F74">
        <w:t xml:space="preserve">Lični podaci dece trebalo bi da budu dostupni samo </w:t>
      </w:r>
      <w:r w:rsidR="00F16666">
        <w:t xml:space="preserve">državnim </w:t>
      </w:r>
      <w:r w:rsidR="00BA7427" w:rsidRPr="00A75F74">
        <w:t>vlastima, organizacijama i pojedincima</w:t>
      </w:r>
      <w:r w:rsidR="00F16666">
        <w:t>, koji su zakonom</w:t>
      </w:r>
      <w:r w:rsidR="00BA7427" w:rsidRPr="00A75F74">
        <w:t xml:space="preserve"> određeni da ih obrađuju</w:t>
      </w:r>
      <w:r w:rsidR="00F16666">
        <w:t>,</w:t>
      </w:r>
      <w:r w:rsidR="00BA7427" w:rsidRPr="00A75F74">
        <w:t xml:space="preserve"> u skladu sa </w:t>
      </w:r>
      <w:r w:rsidR="00F16666">
        <w:t xml:space="preserve">odgovarajućim procesnim </w:t>
      </w:r>
      <w:r w:rsidR="00BA7427" w:rsidRPr="00A75F74">
        <w:t>garancijama kao što su redovne revizije i mere odgovornosti.</w:t>
      </w:r>
      <w:r w:rsidR="00F16666">
        <w:rPr>
          <w:rStyle w:val="FootnoteReference"/>
        </w:rPr>
        <w:footnoteReference w:id="37"/>
      </w:r>
      <w:r w:rsidR="00F16666">
        <w:t>P</w:t>
      </w:r>
      <w:r w:rsidR="00BA7427" w:rsidRPr="00A75F74">
        <w:t xml:space="preserve">odaci </w:t>
      </w:r>
      <w:r w:rsidR="00F16666">
        <w:t xml:space="preserve">deteta </w:t>
      </w:r>
      <w:r w:rsidR="00BA7427" w:rsidRPr="00A75F74">
        <w:t xml:space="preserve">prikupljeni u definisane svrhe, u bilo kom okruženju, </w:t>
      </w:r>
      <w:r w:rsidR="00D03135" w:rsidRPr="00A75F74">
        <w:t>uključujući</w:t>
      </w:r>
      <w:r w:rsidR="00BA7427" w:rsidRPr="00A75F74">
        <w:t xml:space="preserve"> digitalizovane </w:t>
      </w:r>
      <w:r w:rsidR="00D03135">
        <w:t>kriminalne</w:t>
      </w:r>
      <w:r w:rsidR="00BA7427" w:rsidRPr="00A75F74">
        <w:t xml:space="preserve"> evidencije, treba da budu </w:t>
      </w:r>
      <w:r w:rsidR="00D03135" w:rsidRPr="00A75F74">
        <w:t>zaštićeni</w:t>
      </w:r>
      <w:r w:rsidR="00BA7427" w:rsidRPr="00A75F74">
        <w:t xml:space="preserve"> i </w:t>
      </w:r>
      <w:r w:rsidR="00D03135">
        <w:t xml:space="preserve">korišćeni </w:t>
      </w:r>
      <w:proofErr w:type="spellStart"/>
      <w:r w:rsidR="00BA7427" w:rsidRPr="00A75F74">
        <w:t>isključiv</w:t>
      </w:r>
      <w:r w:rsidR="00D03135">
        <w:t>uu</w:t>
      </w:r>
      <w:proofErr w:type="spellEnd"/>
      <w:r w:rsidR="00BA7427" w:rsidRPr="00A75F74">
        <w:t xml:space="preserve"> te svrhe i ne smeju se nezakonito ili nepotrebno čuvati ili koristiti u druge svrhe. Tamo gde se informacije </w:t>
      </w:r>
      <w:r w:rsidR="00D03135">
        <w:t>dostupne</w:t>
      </w:r>
      <w:r w:rsidR="00BA7427" w:rsidRPr="00A75F74">
        <w:t xml:space="preserve"> u jednom </w:t>
      </w:r>
      <w:proofErr w:type="spellStart"/>
      <w:r w:rsidR="00BA7427" w:rsidRPr="00A75F74">
        <w:t>okruženju</w:t>
      </w:r>
      <w:r w:rsidR="00D03135">
        <w:t>,a</w:t>
      </w:r>
      <w:proofErr w:type="spellEnd"/>
      <w:r w:rsidR="00BA7427" w:rsidRPr="00A75F74">
        <w:t xml:space="preserve"> mogu legitimno koristiti detetu u drugom okruženju, na primer, u kontekstu školovanja i </w:t>
      </w:r>
      <w:proofErr w:type="spellStart"/>
      <w:r w:rsidR="00BA7427" w:rsidRPr="00A75F74">
        <w:t>tercijarnog</w:t>
      </w:r>
      <w:proofErr w:type="spellEnd"/>
      <w:r w:rsidR="00BA7427" w:rsidRPr="00A75F74">
        <w:t xml:space="preserve"> obrazovanja, upotreba takvih podataka treba da bude transparentna, odgovo</w:t>
      </w:r>
      <w:r w:rsidR="00C764B1" w:rsidRPr="00A75F74">
        <w:t xml:space="preserve">rna </w:t>
      </w:r>
      <w:proofErr w:type="spellStart"/>
      <w:r w:rsidR="00C764B1" w:rsidRPr="00A75F74">
        <w:t>i</w:t>
      </w:r>
      <w:r w:rsidR="00D03135">
        <w:t>,</w:t>
      </w:r>
      <w:r w:rsidR="00D03135" w:rsidRPr="00A75F74">
        <w:t>prema</w:t>
      </w:r>
      <w:proofErr w:type="spellEnd"/>
      <w:r w:rsidR="00D03135" w:rsidRPr="00A75F74">
        <w:t xml:space="preserve"> </w:t>
      </w:r>
      <w:proofErr w:type="spellStart"/>
      <w:r w:rsidR="00D03135" w:rsidRPr="00A75F74">
        <w:t>potrebi</w:t>
      </w:r>
      <w:r w:rsidR="00D03135">
        <w:t>,</w:t>
      </w:r>
      <w:r w:rsidR="00C764B1" w:rsidRPr="00A75F74">
        <w:t>podložna</w:t>
      </w:r>
      <w:proofErr w:type="spellEnd"/>
      <w:r w:rsidR="00C764B1" w:rsidRPr="00A75F74">
        <w:t xml:space="preserve"> pristanku deteta</w:t>
      </w:r>
      <w:r w:rsidR="00BA7427" w:rsidRPr="00A75F74">
        <w:t xml:space="preserve">, roditelja ili </w:t>
      </w:r>
      <w:r w:rsidR="00864FFA">
        <w:t>staraoca</w:t>
      </w:r>
      <w:r w:rsidR="00BA7427" w:rsidRPr="00A75F74">
        <w:t>,.</w:t>
      </w:r>
    </w:p>
    <w:p w:rsidR="00992F5C" w:rsidRPr="00A75F74" w:rsidRDefault="00992F5C" w:rsidP="00992F5C">
      <w:pPr>
        <w:pStyle w:val="SingleTxtG"/>
      </w:pPr>
      <w:r w:rsidRPr="00A75F74">
        <w:t>74.</w:t>
      </w:r>
      <w:r w:rsidRPr="00A75F74">
        <w:tab/>
        <w:t xml:space="preserve">Zakoni i mere o privatnosti i zaštiti podataka ne bi trebalo da proizvoljno ograničavaju druga prava dece, poput njihovog prava na slobodu izražavanja ili zaštitu. Države </w:t>
      </w:r>
      <w:proofErr w:type="spellStart"/>
      <w:r w:rsidR="00CB4CD1" w:rsidRPr="00A75F74">
        <w:t>ugov</w:t>
      </w:r>
      <w:r w:rsidR="00D03135">
        <w:t>o</w:t>
      </w:r>
      <w:r w:rsidR="00CB4CD1" w:rsidRPr="00A75F74">
        <w:t>rnice</w:t>
      </w:r>
      <w:proofErr w:type="spellEnd"/>
      <w:r w:rsidRPr="00A75F74">
        <w:t xml:space="preserve"> treba</w:t>
      </w:r>
      <w:r w:rsidR="00CF105F" w:rsidRPr="00A75F74">
        <w:t xml:space="preserve"> da osiguraju </w:t>
      </w:r>
      <w:r w:rsidR="00CF105F" w:rsidRPr="00D03135">
        <w:t xml:space="preserve">da zakonodavstvo </w:t>
      </w:r>
      <w:r w:rsidR="00D03135" w:rsidRPr="00D03135">
        <w:t>o</w:t>
      </w:r>
      <w:r w:rsidRPr="00D03135">
        <w:t xml:space="preserve"> zaštiti podataka poštuje dečju privatnost i lične podatke u vezi sa digitalnim okruženjem.</w:t>
      </w:r>
      <w:r w:rsidRPr="00A75F74">
        <w:t xml:space="preserve"> Stalnim tehnološkim inovacijama, opseg digitalnog okruženja se proširuje i uključuje još više usluga i proizvoda, poput </w:t>
      </w:r>
      <w:r w:rsidR="00D03135" w:rsidRPr="00A75F74">
        <w:t>odeće</w:t>
      </w:r>
      <w:r w:rsidRPr="00A75F74">
        <w:t xml:space="preserve"> i igračaka. Kako </w:t>
      </w:r>
      <w:r w:rsidR="00D03135">
        <w:t>okruženja</w:t>
      </w:r>
      <w:r w:rsidRPr="00A75F74">
        <w:t xml:space="preserve"> u kojima deca provode vreme postaju „povezan</w:t>
      </w:r>
      <w:r w:rsidR="00D03135">
        <w:t>a</w:t>
      </w:r>
      <w:r w:rsidRPr="00A75F74">
        <w:t>“, upotrebom ugrađenih senzora poveza</w:t>
      </w:r>
      <w:r w:rsidR="00AA3C4C" w:rsidRPr="00A75F74">
        <w:t xml:space="preserve">nih na automatizovane sisteme, </w:t>
      </w:r>
      <w:r w:rsidR="00D03135">
        <w:t>d</w:t>
      </w:r>
      <w:r w:rsidRPr="00A75F74">
        <w:t xml:space="preserve">ržave </w:t>
      </w:r>
      <w:proofErr w:type="spellStart"/>
      <w:r w:rsidR="00D03135" w:rsidRPr="00A75F74">
        <w:t>ugovornice</w:t>
      </w:r>
      <w:r w:rsidRPr="00A75F74">
        <w:t>treba</w:t>
      </w:r>
      <w:proofErr w:type="spellEnd"/>
      <w:r w:rsidRPr="00A75F74">
        <w:t xml:space="preserve"> da obezbede da proizvodi i usluge koji doprinose takv</w:t>
      </w:r>
      <w:r w:rsidR="00D03135">
        <w:t>i</w:t>
      </w:r>
      <w:r w:rsidRPr="00A75F74">
        <w:t>m okruženj</w:t>
      </w:r>
      <w:r w:rsidR="00D03135">
        <w:t>ima</w:t>
      </w:r>
      <w:r w:rsidRPr="00A75F74">
        <w:t xml:space="preserve"> podležu </w:t>
      </w:r>
      <w:r w:rsidR="00D03135">
        <w:t>snažnoj</w:t>
      </w:r>
      <w:r w:rsidRPr="00A75F74">
        <w:t xml:space="preserve"> zaštiti podataka i drugim propisima i standardima o privatnosti. To uključuje </w:t>
      </w:r>
      <w:proofErr w:type="spellStart"/>
      <w:r w:rsidRPr="00A75F74">
        <w:t>javn</w:t>
      </w:r>
      <w:r w:rsidR="00D03135">
        <w:t>aokruženja</w:t>
      </w:r>
      <w:proofErr w:type="spellEnd"/>
      <w:r w:rsidRPr="00A75F74">
        <w:t xml:space="preserve">, poput ulica, škola, biblioteka, sportskih i zabavnih objekata i poslovnih prostora, </w:t>
      </w:r>
      <w:r w:rsidR="00D03135" w:rsidRPr="00A75F74">
        <w:t>uključujući</w:t>
      </w:r>
      <w:r w:rsidRPr="00A75F74">
        <w:t xml:space="preserve"> prodavnice i bioskope, i dom. </w:t>
      </w:r>
    </w:p>
    <w:p w:rsidR="00F66404" w:rsidRPr="00A75F74" w:rsidRDefault="00F66404" w:rsidP="00F66404">
      <w:pPr>
        <w:pStyle w:val="SingleTxtG"/>
      </w:pPr>
      <w:r w:rsidRPr="00A75F74">
        <w:t>75.</w:t>
      </w:r>
      <w:r w:rsidRPr="00A75F74">
        <w:tab/>
        <w:t xml:space="preserve">Bilo koji digitalni nadzor dece, zajedno sa bilo kojom povezanom automatizovanom obradom ličnih podataka, treba da poštuje pravo </w:t>
      </w:r>
      <w:proofErr w:type="spellStart"/>
      <w:r w:rsidR="00D03135" w:rsidRPr="00A75F74">
        <w:t>detet</w:t>
      </w:r>
      <w:r w:rsidR="00D03135">
        <w:t>a</w:t>
      </w:r>
      <w:r w:rsidRPr="00A75F74">
        <w:t>na</w:t>
      </w:r>
      <w:proofErr w:type="spellEnd"/>
      <w:r w:rsidRPr="00A75F74">
        <w:t xml:space="preserve"> privatnost i ne sme se sprovoditi rutinski, neselektivno ili bez znanja </w:t>
      </w:r>
      <w:proofErr w:type="spellStart"/>
      <w:r w:rsidR="00D03135" w:rsidRPr="00A75F74">
        <w:t>detet</w:t>
      </w:r>
      <w:r w:rsidR="00D03135">
        <w:t>a</w:t>
      </w:r>
      <w:r w:rsidRPr="00A75F74">
        <w:t>ili</w:t>
      </w:r>
      <w:proofErr w:type="spellEnd"/>
      <w:r w:rsidRPr="00A75F74">
        <w:t xml:space="preserve">, u slučaju vrlo male dece, njihovog roditelja ili </w:t>
      </w:r>
      <w:r w:rsidR="00864FFA">
        <w:t>staraoca</w:t>
      </w:r>
      <w:r w:rsidRPr="00A75F74">
        <w:t xml:space="preserve">; niti bi se to trebalo odvijati bez prava na prigovor takvom nadzoru, u komercijalnim okruženjima i obrazovnim ustanovama i ustanovama za zaštitu, i uvek bi trebalo razmotriti </w:t>
      </w:r>
      <w:r w:rsidR="00D03135" w:rsidRPr="00A75F74">
        <w:t xml:space="preserve">sredstva </w:t>
      </w:r>
      <w:r w:rsidR="00D03135">
        <w:t xml:space="preserve">koja </w:t>
      </w:r>
      <w:r w:rsidRPr="00A75F74">
        <w:t xml:space="preserve">najmanje narušavaju privatnost </w:t>
      </w:r>
      <w:r w:rsidR="00D03135">
        <w:t xml:space="preserve">raspoloživa </w:t>
      </w:r>
      <w:r w:rsidRPr="00A75F74">
        <w:t>da bi se ispunila željena svrha.</w:t>
      </w:r>
    </w:p>
    <w:p w:rsidR="00F66404" w:rsidRPr="00A75F74" w:rsidRDefault="00F66404" w:rsidP="00F66404">
      <w:pPr>
        <w:pStyle w:val="SingleTxtG"/>
      </w:pPr>
      <w:r w:rsidRPr="00A75F74">
        <w:t>76.</w:t>
      </w:r>
      <w:r w:rsidRPr="00A75F74">
        <w:tab/>
      </w:r>
      <w:r w:rsidR="00092DFF" w:rsidRPr="00A75F74">
        <w:t xml:space="preserve">Digitalno okruženje predstavlja posebne probleme roditeljima i </w:t>
      </w:r>
      <w:r w:rsidR="00864FFA">
        <w:t>staraocima</w:t>
      </w:r>
      <w:r w:rsidR="00092DFF" w:rsidRPr="00A75F74">
        <w:t xml:space="preserve"> u poštovanju prava dece na privatnost. Tehnologije koje nadgledaju aktivnosti na mreži iz bezbednosnih razloga, poput uređaja </w:t>
      </w:r>
      <w:r w:rsidR="00F31FCE" w:rsidRPr="00A75F74">
        <w:t xml:space="preserve">i </w:t>
      </w:r>
      <w:proofErr w:type="spellStart"/>
      <w:r w:rsidR="00F31FCE">
        <w:t>servisa</w:t>
      </w:r>
      <w:r w:rsidR="00092DFF" w:rsidRPr="00A75F74">
        <w:t>za</w:t>
      </w:r>
      <w:proofErr w:type="spellEnd"/>
      <w:r w:rsidR="00092DFF" w:rsidRPr="00A75F74">
        <w:t xml:space="preserve"> </w:t>
      </w:r>
      <w:r w:rsidR="00F31FCE" w:rsidRPr="00A75F74">
        <w:t>praćenje</w:t>
      </w:r>
      <w:r w:rsidR="00092DFF" w:rsidRPr="00A75F74">
        <w:t xml:space="preserve">, ako se ne primene pažljivo, mogu sprečiti dete da pristupi liniji za </w:t>
      </w:r>
      <w:r w:rsidR="00F31FCE" w:rsidRPr="00A75F74">
        <w:t>pomoć</w:t>
      </w:r>
      <w:r w:rsidR="00092DFF" w:rsidRPr="00A75F74">
        <w:t xml:space="preserve">́ ili da pretražuje osetljive informacije. Države </w:t>
      </w:r>
      <w:proofErr w:type="spellStart"/>
      <w:r w:rsidR="00F31FCE" w:rsidRPr="00A75F74">
        <w:t>ugovornice</w:t>
      </w:r>
      <w:r w:rsidR="00021B59" w:rsidRPr="00A75F74">
        <w:t>trebalo</w:t>
      </w:r>
      <w:proofErr w:type="spellEnd"/>
      <w:r w:rsidR="00092DFF" w:rsidRPr="00A75F74">
        <w:t xml:space="preserve"> bi da savetuju decu, roditelje i </w:t>
      </w:r>
      <w:r w:rsidR="00F16666">
        <w:t>staraoce</w:t>
      </w:r>
      <w:r w:rsidR="00F31FCE">
        <w:t>, kao</w:t>
      </w:r>
      <w:r w:rsidR="00092DFF" w:rsidRPr="00A75F74">
        <w:t xml:space="preserve"> i javnost o važnosti prava deteta na privatnost i o tome kako njihova sopstvena praksa može to pravo da ugrozi. Takođe bi ih trebalo savetovati o praksama kroz koje mogu poštovati i zaštititi privatnost dece u odnosu na digitalno okruženje, istovremeno ih </w:t>
      </w:r>
      <w:r w:rsidR="00F31FCE">
        <w:t>štiteć</w:t>
      </w:r>
      <w:r w:rsidR="00F31FCE" w:rsidRPr="00A75F74">
        <w:t>i</w:t>
      </w:r>
      <w:r w:rsidR="00092DFF" w:rsidRPr="00A75F74">
        <w:t xml:space="preserve">. Nadzor roditelja i </w:t>
      </w:r>
      <w:r w:rsidR="00864FFA">
        <w:t>staralaca</w:t>
      </w:r>
      <w:r w:rsidR="00092DFF" w:rsidRPr="00A75F74">
        <w:t xml:space="preserve"> nad digitalnom </w:t>
      </w:r>
      <w:r w:rsidR="00F31FCE" w:rsidRPr="00A75F74">
        <w:t>aktivnošću</w:t>
      </w:r>
      <w:r w:rsidR="00092DFF" w:rsidRPr="00A75F74">
        <w:t xml:space="preserve"> deteta treba da bude proporcionalan i u skladu sa detetovim kapacitetima</w:t>
      </w:r>
      <w:r w:rsidR="00F31FCE">
        <w:t xml:space="preserve"> koji se razvijaju</w:t>
      </w:r>
      <w:r w:rsidR="00092DFF" w:rsidRPr="00A75F74">
        <w:t>.</w:t>
      </w:r>
    </w:p>
    <w:p w:rsidR="00021B59" w:rsidRPr="00A75F74" w:rsidRDefault="00021B59" w:rsidP="00021B59">
      <w:pPr>
        <w:pStyle w:val="SingleTxtG"/>
      </w:pPr>
      <w:r w:rsidRPr="00A75F74">
        <w:lastRenderedPageBreak/>
        <w:t>77.</w:t>
      </w:r>
      <w:r w:rsidRPr="00A75F74">
        <w:tab/>
      </w:r>
      <w:r w:rsidR="00BB7BD8" w:rsidRPr="00A75F74">
        <w:t xml:space="preserve">Mnoga deca koriste mrežne </w:t>
      </w:r>
      <w:proofErr w:type="spellStart"/>
      <w:r w:rsidR="00BB7BD8" w:rsidRPr="00A75F74">
        <w:t>avatare</w:t>
      </w:r>
      <w:proofErr w:type="spellEnd"/>
      <w:r w:rsidR="00BB7BD8" w:rsidRPr="00A75F74">
        <w:t xml:space="preserve"> ili pseudonime koji štite njihov identitet, a takve prakse mogu biti važne u zaštiti privatnosti dece. Države </w:t>
      </w:r>
      <w:proofErr w:type="spellStart"/>
      <w:r w:rsidR="00F31FCE" w:rsidRPr="00A75F74">
        <w:t>ugovornice</w:t>
      </w:r>
      <w:proofErr w:type="spellEnd"/>
      <w:r w:rsidR="005E5044" w:rsidRPr="00A75F74">
        <w:t xml:space="preserve"> trebalo</w:t>
      </w:r>
      <w:r w:rsidR="00BB7BD8" w:rsidRPr="00A75F74">
        <w:t xml:space="preserve"> bi da zahtevaju pristup koji integriše bezbednost</w:t>
      </w:r>
      <w:r w:rsidR="008E376C">
        <w:t>-</w:t>
      </w:r>
      <w:r w:rsidR="00F31FCE">
        <w:t>po</w:t>
      </w:r>
      <w:r w:rsidR="008E376C">
        <w:t>-</w:t>
      </w:r>
      <w:r w:rsidR="00BB7BD8" w:rsidRPr="00A75F74">
        <w:t>dizajnu i privatnost</w:t>
      </w:r>
      <w:r w:rsidR="008E376C">
        <w:t>-</w:t>
      </w:r>
      <w:r w:rsidR="00F31FCE">
        <w:t>po</w:t>
      </w:r>
      <w:r w:rsidR="008E376C">
        <w:t>-</w:t>
      </w:r>
      <w:r w:rsidR="00BB7BD8" w:rsidRPr="00A75F74">
        <w:t xml:space="preserve">dizajnu anonimnosti, istovremeno </w:t>
      </w:r>
      <w:r w:rsidR="00F31FCE" w:rsidRPr="00A75F74">
        <w:t>osiguravajući</w:t>
      </w:r>
      <w:r w:rsidR="00BB7BD8" w:rsidRPr="00A75F74">
        <w:t xml:space="preserve"> da se a</w:t>
      </w:r>
      <w:r w:rsidR="008E376C">
        <w:t>n</w:t>
      </w:r>
      <w:r w:rsidR="00BB7BD8" w:rsidRPr="00A75F74">
        <w:t xml:space="preserve">onimne prakse rutinski ne koriste za sakrivanje štetnog ili nezakonitog ponašanja, poput </w:t>
      </w:r>
      <w:r w:rsidR="00F31FCE">
        <w:t>saj</w:t>
      </w:r>
      <w:r w:rsidR="00BB7BD8" w:rsidRPr="00A75F74">
        <w:t xml:space="preserve">ber agresije, govora mržnje ili seksualnog </w:t>
      </w:r>
      <w:r w:rsidR="00F31FCE" w:rsidRPr="00A75F74">
        <w:t>iskorišćavanja</w:t>
      </w:r>
      <w:r w:rsidR="00BB7BD8" w:rsidRPr="00A75F74">
        <w:t xml:space="preserve"> i </w:t>
      </w:r>
      <w:r w:rsidR="00F31FCE">
        <w:t>zloupotrebe</w:t>
      </w:r>
      <w:r w:rsidR="00BB7BD8" w:rsidRPr="00A75F74">
        <w:t xml:space="preserve">. Zaštita detetove privatnosti u digitalnom okruženju može biti od vitalnog značaja u okolnostima kada roditelji ili </w:t>
      </w:r>
      <w:r w:rsidR="00F16666">
        <w:t>staraoci</w:t>
      </w:r>
      <w:r w:rsidR="00BB7BD8" w:rsidRPr="00A75F74">
        <w:t xml:space="preserve"> sami predstavljaju pretnju za bezbednost deteta ili kada su u sukobu oko </w:t>
      </w:r>
      <w:r w:rsidR="00F31FCE">
        <w:t>staranja o</w:t>
      </w:r>
      <w:r w:rsidR="00BB7BD8" w:rsidRPr="00A75F74">
        <w:t xml:space="preserve"> detet</w:t>
      </w:r>
      <w:r w:rsidR="00F31FCE">
        <w:t>u</w:t>
      </w:r>
      <w:r w:rsidR="00BB7BD8" w:rsidRPr="00A75F74">
        <w:t>. Takvi slučajevi mogu zahtevati dalju intervenciju, kao i porodično savetovanje ili druge usluge, kako bi se zaštitilo detetovo pravo na privatnost.</w:t>
      </w:r>
    </w:p>
    <w:p w:rsidR="00021B59" w:rsidRPr="00A75F74" w:rsidRDefault="00021B59" w:rsidP="00F66404">
      <w:pPr>
        <w:pStyle w:val="SingleTxtG"/>
      </w:pPr>
      <w:r w:rsidRPr="00A75F74">
        <w:t>78.</w:t>
      </w:r>
      <w:r w:rsidRPr="00A75F74">
        <w:tab/>
      </w:r>
      <w:proofErr w:type="spellStart"/>
      <w:r w:rsidR="005B6F96" w:rsidRPr="00A75F74">
        <w:t>Pružaoci</w:t>
      </w:r>
      <w:proofErr w:type="spellEnd"/>
      <w:r w:rsidR="005B6F96" w:rsidRPr="00A75F74">
        <w:t xml:space="preserve"> preventivnih </w:t>
      </w:r>
      <w:r w:rsidR="00F31FCE" w:rsidRPr="00A75F74">
        <w:t xml:space="preserve">ili </w:t>
      </w:r>
      <w:proofErr w:type="spellStart"/>
      <w:r w:rsidR="00F31FCE" w:rsidRPr="00A75F74">
        <w:t>saveto</w:t>
      </w:r>
      <w:r w:rsidR="00F31FCE">
        <w:t>davnih</w:t>
      </w:r>
      <w:r w:rsidR="005B6F96" w:rsidRPr="00A75F74">
        <w:t>usluga</w:t>
      </w:r>
      <w:proofErr w:type="spellEnd"/>
      <w:r w:rsidR="005B6F96" w:rsidRPr="00A75F74">
        <w:t xml:space="preserve"> za decu u digitalnom okruženju treba da budu izuzeti od bilo kakvih zahteva da dete dobije roditeljski pristanak kako bi pristupilo takvim uslugama.</w:t>
      </w:r>
      <w:r w:rsidR="00F31FCE">
        <w:rPr>
          <w:rStyle w:val="FootnoteReference"/>
        </w:rPr>
        <w:footnoteReference w:id="38"/>
      </w:r>
      <w:r w:rsidR="005B6F96" w:rsidRPr="00A75F74">
        <w:t xml:space="preserve"> Takve usluge treba </w:t>
      </w:r>
      <w:r w:rsidR="00F31FCE">
        <w:t>pružati</w:t>
      </w:r>
      <w:r w:rsidR="005B6F96" w:rsidRPr="00A75F74">
        <w:t xml:space="preserve"> prema visokim standardima privatnosti i zaštite dece.</w:t>
      </w:r>
    </w:p>
    <w:p w:rsidR="005B6F96" w:rsidRPr="00A75F74" w:rsidRDefault="005B6F96" w:rsidP="005B6F96">
      <w:pPr>
        <w:pStyle w:val="H1G"/>
      </w:pPr>
      <w:r w:rsidRPr="00A75F74">
        <w:tab/>
        <w:t>F.</w:t>
      </w:r>
      <w:r w:rsidRPr="00A75F74">
        <w:tab/>
        <w:t>Registr</w:t>
      </w:r>
      <w:r w:rsidR="0041775C">
        <w:t>ovanje</w:t>
      </w:r>
      <w:r w:rsidRPr="00A75F74">
        <w:t xml:space="preserve"> rođenja i pravo na identitet</w:t>
      </w:r>
    </w:p>
    <w:p w:rsidR="00992F5C" w:rsidRPr="00A75F74" w:rsidRDefault="00CB24D2" w:rsidP="003B2064">
      <w:pPr>
        <w:pStyle w:val="SingleTxtG"/>
      </w:pPr>
      <w:r w:rsidRPr="00A75F74">
        <w:t>79.</w:t>
      </w:r>
      <w:r w:rsidRPr="00A75F74">
        <w:tab/>
        <w:t xml:space="preserve">Države </w:t>
      </w:r>
      <w:proofErr w:type="spellStart"/>
      <w:r w:rsidR="00F31FCE" w:rsidRPr="00A75F74">
        <w:t>ugovornice</w:t>
      </w:r>
      <w:r w:rsidRPr="00A75F74">
        <w:t>treba</w:t>
      </w:r>
      <w:proofErr w:type="spellEnd"/>
      <w:r w:rsidRPr="00A75F74">
        <w:t xml:space="preserve"> da promovišu upotrebu sistema digitalne identifikacije koji </w:t>
      </w:r>
      <w:proofErr w:type="spellStart"/>
      <w:r w:rsidR="00F31FCE" w:rsidRPr="00A75F74">
        <w:t>omogućavaju</w:t>
      </w:r>
      <w:r w:rsidR="0041775C">
        <w:t>registrovanje</w:t>
      </w:r>
      <w:proofErr w:type="spellEnd"/>
      <w:r w:rsidRPr="00A75F74">
        <w:t xml:space="preserve"> i službeno priznavanje rođenja sve novorođene dece od strane nacionalnih vlasti, kako bi se olakšao pristup uslugama, </w:t>
      </w:r>
      <w:r w:rsidR="00F31FCE" w:rsidRPr="00A75F74">
        <w:t>uključujući</w:t>
      </w:r>
      <w:r w:rsidRPr="00A75F74">
        <w:t xml:space="preserve"> zdravstvo, obrazovanje i dobrobit. </w:t>
      </w:r>
      <w:proofErr w:type="spellStart"/>
      <w:r w:rsidR="0041775C">
        <w:t>Odsustvoregistrovanja</w:t>
      </w:r>
      <w:proofErr w:type="spellEnd"/>
      <w:r w:rsidRPr="00A75F74">
        <w:t xml:space="preserve"> rođen</w:t>
      </w:r>
      <w:r w:rsidR="0041775C">
        <w:t>ja</w:t>
      </w:r>
      <w:r w:rsidRPr="00A75F74">
        <w:t xml:space="preserve"> olakšava kršenje prava deteta </w:t>
      </w:r>
      <w:r w:rsidR="0041775C">
        <w:t xml:space="preserve">koje ono ima </w:t>
      </w:r>
      <w:r w:rsidRPr="00A75F74">
        <w:t>p</w:t>
      </w:r>
      <w:r w:rsidR="0041775C">
        <w:t>o</w:t>
      </w:r>
      <w:r w:rsidRPr="00A75F74">
        <w:t xml:space="preserve"> Konvenciji i njenim </w:t>
      </w:r>
      <w:r w:rsidR="0041775C">
        <w:t>opcionim</w:t>
      </w:r>
      <w:r w:rsidRPr="00A75F74">
        <w:t xml:space="preserve"> protokolima. Države </w:t>
      </w:r>
      <w:proofErr w:type="spellStart"/>
      <w:r w:rsidR="0041775C" w:rsidRPr="00A75F74">
        <w:t>ugovornice</w:t>
      </w:r>
      <w:proofErr w:type="spellEnd"/>
      <w:r w:rsidR="00FA203A" w:rsidRPr="00A75F74">
        <w:t xml:space="preserve"> trebalo</w:t>
      </w:r>
      <w:r w:rsidRPr="00A75F74">
        <w:t xml:space="preserve"> bi da koriste najsavremeniju tehnologiju, </w:t>
      </w:r>
      <w:r w:rsidR="0041775C" w:rsidRPr="00A75F74">
        <w:t>uključujući</w:t>
      </w:r>
      <w:r w:rsidRPr="00A75F74">
        <w:t xml:space="preserve"> mobilne jedinice za registraciju, kako bi osigurale pristup </w:t>
      </w:r>
      <w:r w:rsidR="0041775C">
        <w:t>registrovanju</w:t>
      </w:r>
      <w:r w:rsidRPr="00A75F74">
        <w:t xml:space="preserve"> rođen</w:t>
      </w:r>
      <w:r w:rsidR="0041775C">
        <w:t>ja</w:t>
      </w:r>
      <w:r w:rsidRPr="00A75F74">
        <w:t xml:space="preserve">, posebno za decu u udaljenim oblastima, izbegličku i </w:t>
      </w:r>
      <w:proofErr w:type="spellStart"/>
      <w:r w:rsidRPr="00A75F74">
        <w:t>migrantsku</w:t>
      </w:r>
      <w:proofErr w:type="spellEnd"/>
      <w:r w:rsidRPr="00A75F74">
        <w:t xml:space="preserve"> decu, decu u riziku i decu u marginalizovanim situacijama, kao i decu rođenu pre uvođenje sistema digitalne identifikacije. Da bi takvi sistemi koristili deci, </w:t>
      </w:r>
      <w:r w:rsidR="0041775C">
        <w:t>d</w:t>
      </w:r>
      <w:r w:rsidR="0041775C" w:rsidRPr="00A75F74">
        <w:t xml:space="preserve">ržave </w:t>
      </w:r>
      <w:proofErr w:type="spellStart"/>
      <w:r w:rsidR="0041775C" w:rsidRPr="00A75F74">
        <w:t>ugovornice</w:t>
      </w:r>
      <w:proofErr w:type="spellEnd"/>
      <w:r w:rsidR="0041775C" w:rsidRPr="00A75F74">
        <w:t xml:space="preserve"> </w:t>
      </w:r>
      <w:r w:rsidR="0041775C">
        <w:t xml:space="preserve">bi </w:t>
      </w:r>
      <w:r w:rsidRPr="00A75F74">
        <w:t xml:space="preserve">trebalo da sprovedu kampanje za podizanje svesti, uspostave mehanizme </w:t>
      </w:r>
      <w:r w:rsidR="0041775C" w:rsidRPr="00A75F74">
        <w:t>praćenja</w:t>
      </w:r>
      <w:r w:rsidRPr="00A75F74">
        <w:t xml:space="preserve">, promovišu angažovanje zajednice i obezbede efikasnu koordinaciju između različitih aktera, </w:t>
      </w:r>
      <w:r w:rsidR="0041775C" w:rsidRPr="00A75F74">
        <w:t>uključujući</w:t>
      </w:r>
      <w:r w:rsidRPr="00A75F74">
        <w:t xml:space="preserve"> službenike za civilni status, sudije, beležnike, zdravstvene službe i osoblje agencija za zaštitu dece. Takođe bi trebalo da osiguraju postojanje </w:t>
      </w:r>
      <w:r w:rsidR="0041775C">
        <w:t>snažnog</w:t>
      </w:r>
      <w:r w:rsidRPr="00A75F74">
        <w:t xml:space="preserve"> okvira za zaštitu privatnosti i podataka.</w:t>
      </w:r>
    </w:p>
    <w:p w:rsidR="0050109A" w:rsidRPr="00A75F74" w:rsidRDefault="0050109A" w:rsidP="0050109A">
      <w:pPr>
        <w:pStyle w:val="HChG"/>
      </w:pPr>
      <w:r w:rsidRPr="00A75F74">
        <w:tab/>
        <w:t>VII.</w:t>
      </w:r>
      <w:r w:rsidRPr="00A75F74">
        <w:tab/>
        <w:t>Nasilje nad decom</w:t>
      </w:r>
    </w:p>
    <w:p w:rsidR="00D73BF1" w:rsidRPr="00A75F74" w:rsidRDefault="00D73BF1" w:rsidP="00D73BF1">
      <w:pPr>
        <w:pStyle w:val="SingleTxtG"/>
      </w:pPr>
      <w:r w:rsidRPr="00A75F74">
        <w:t>80.</w:t>
      </w:r>
      <w:r w:rsidRPr="00A75F74">
        <w:tab/>
        <w:t xml:space="preserve">Digitalno okruženje može otvoriti nove </w:t>
      </w:r>
      <w:r w:rsidR="0041775C">
        <w:t>mogućnosti</w:t>
      </w:r>
      <w:r w:rsidRPr="00A75F74">
        <w:t xml:space="preserve"> za vršenje nasilja nad decom, </w:t>
      </w:r>
      <w:proofErr w:type="spellStart"/>
      <w:r w:rsidR="0041775C" w:rsidRPr="00A75F74">
        <w:t>olakšavajući</w:t>
      </w:r>
      <w:r w:rsidR="0041775C">
        <w:t>stvaranje</w:t>
      </w:r>
      <w:proofErr w:type="spellEnd"/>
      <w:r w:rsidR="0041775C">
        <w:t xml:space="preserve"> </w:t>
      </w:r>
      <w:r w:rsidRPr="00A75F74">
        <w:t>situacij</w:t>
      </w:r>
      <w:r w:rsidR="0041775C">
        <w:t>a</w:t>
      </w:r>
      <w:r w:rsidRPr="00A75F74">
        <w:t xml:space="preserve"> u kojima deca doživljavaju nasilje i/ili </w:t>
      </w:r>
      <w:r w:rsidR="0041775C">
        <w:t xml:space="preserve">mogu </w:t>
      </w:r>
      <w:proofErr w:type="spellStart"/>
      <w:r w:rsidR="0041775C">
        <w:t>potpasti</w:t>
      </w:r>
      <w:proofErr w:type="spellEnd"/>
      <w:r w:rsidRPr="00A75F74">
        <w:t xml:space="preserve"> pod uticaj da nanesu štetu sebi ili drugima. Krize, poput </w:t>
      </w:r>
      <w:proofErr w:type="spellStart"/>
      <w:r w:rsidRPr="00A75F74">
        <w:t>pandemije</w:t>
      </w:r>
      <w:proofErr w:type="spellEnd"/>
      <w:r w:rsidRPr="00A75F74">
        <w:t xml:space="preserve">, mogu dovesti do </w:t>
      </w:r>
      <w:r w:rsidR="0041775C" w:rsidRPr="00A75F74">
        <w:t>povećanog</w:t>
      </w:r>
      <w:r w:rsidRPr="00A75F74">
        <w:t xml:space="preserve"> rizika od </w:t>
      </w:r>
      <w:r w:rsidR="0041775C">
        <w:t>povređivanja</w:t>
      </w:r>
      <w:r w:rsidRPr="00A75F74">
        <w:t xml:space="preserve"> na mreži, s obzirom na to da deca u tim okolnostima provode više vremena na virtuelnim platformama.</w:t>
      </w:r>
    </w:p>
    <w:p w:rsidR="0050109A" w:rsidRPr="00A75F74" w:rsidRDefault="00D73BF1" w:rsidP="000E7B1A">
      <w:pPr>
        <w:pStyle w:val="SingleTxtG"/>
      </w:pPr>
      <w:r w:rsidRPr="00A75F74">
        <w:t>81.</w:t>
      </w:r>
      <w:r w:rsidRPr="00A75F74">
        <w:tab/>
      </w:r>
      <w:r w:rsidR="000E7B1A" w:rsidRPr="00A75F74">
        <w:t xml:space="preserve">Seksualni prestupnici mogu da koriste digitalne tehnologije za podsticanje dece u seksualne svrhe i za </w:t>
      </w:r>
      <w:r w:rsidR="0041775C" w:rsidRPr="00A75F74">
        <w:t>učešće</w:t>
      </w:r>
      <w:r w:rsidR="000E7B1A" w:rsidRPr="00A75F74">
        <w:t xml:space="preserve"> u </w:t>
      </w:r>
      <w:proofErr w:type="spellStart"/>
      <w:r w:rsidR="000E7B1A" w:rsidRPr="00A75F74">
        <w:t>seksualno</w:t>
      </w:r>
      <w:r w:rsidR="0041775C">
        <w:t>jzloupotrebi</w:t>
      </w:r>
      <w:proofErr w:type="spellEnd"/>
      <w:r w:rsidR="000E7B1A" w:rsidRPr="00A75F74">
        <w:t xml:space="preserve"> dece na mreži, na primer, direktnim prenosom video zapisa, produkcijom i distribucijom materijala </w:t>
      </w:r>
      <w:r w:rsidR="005F158A">
        <w:t>s</w:t>
      </w:r>
      <w:r w:rsidR="000E7B1A" w:rsidRPr="00A75F74">
        <w:t xml:space="preserve">a </w:t>
      </w:r>
      <w:proofErr w:type="spellStart"/>
      <w:r w:rsidR="000E7B1A" w:rsidRPr="00A75F74">
        <w:t>seksualno</w:t>
      </w:r>
      <w:r w:rsidR="005F158A">
        <w:t>m</w:t>
      </w:r>
      <w:r w:rsidR="0041775C">
        <w:t>zloupotrebu</w:t>
      </w:r>
      <w:r w:rsidR="000E7B1A" w:rsidRPr="00A75F74">
        <w:t>dece</w:t>
      </w:r>
      <w:proofErr w:type="spellEnd"/>
      <w:r w:rsidR="000E7B1A" w:rsidRPr="00A75F74">
        <w:t xml:space="preserve"> i seksualnim iznuđivanjem. Oblici digitalno olakšanog nasilja i seksualnog </w:t>
      </w:r>
      <w:r w:rsidR="005F158A" w:rsidRPr="00A75F74">
        <w:t>iskorišćavanja</w:t>
      </w:r>
      <w:r w:rsidR="000E7B1A" w:rsidRPr="00A75F74">
        <w:t xml:space="preserve"> i </w:t>
      </w:r>
      <w:r w:rsidR="005F158A">
        <w:t>zloupotrebe</w:t>
      </w:r>
      <w:r w:rsidR="000E7B1A" w:rsidRPr="00A75F74">
        <w:t xml:space="preserve"> takođe se mogu </w:t>
      </w:r>
      <w:r w:rsidR="005F158A">
        <w:t>pojaviti</w:t>
      </w:r>
      <w:r w:rsidR="000E7B1A" w:rsidRPr="00A75F74">
        <w:t xml:space="preserve"> u krugu </w:t>
      </w:r>
      <w:proofErr w:type="spellStart"/>
      <w:r w:rsidR="000E7B1A" w:rsidRPr="00A75F74">
        <w:t>poverenja</w:t>
      </w:r>
      <w:r w:rsidR="005F158A" w:rsidRPr="00A75F74">
        <w:t>detet</w:t>
      </w:r>
      <w:r w:rsidR="005F158A">
        <w:t>a</w:t>
      </w:r>
      <w:proofErr w:type="spellEnd"/>
      <w:r w:rsidR="000E7B1A" w:rsidRPr="00A75F74">
        <w:t xml:space="preserve">, porodice ili prijatelja ili, za adolescente, od strane intimnih partnera, a mogu uključivati i </w:t>
      </w:r>
      <w:r w:rsidR="005F158A">
        <w:t>sajber-</w:t>
      </w:r>
      <w:r w:rsidR="000E7B1A" w:rsidRPr="00A75F74">
        <w:t xml:space="preserve">agresiju, </w:t>
      </w:r>
      <w:r w:rsidR="005F158A" w:rsidRPr="00A75F74">
        <w:t>uključujući</w:t>
      </w:r>
      <w:r w:rsidR="000E7B1A" w:rsidRPr="00A75F74">
        <w:t xml:space="preserve"> maltretiranje i pretnje ugledu, </w:t>
      </w:r>
      <w:r w:rsidR="005F158A">
        <w:t>kreiranje</w:t>
      </w:r>
      <w:r w:rsidR="000E7B1A" w:rsidRPr="00A75F74">
        <w:t xml:space="preserve"> ili deljenje </w:t>
      </w:r>
      <w:proofErr w:type="spellStart"/>
      <w:r w:rsidR="000E7B1A" w:rsidRPr="00A75F74">
        <w:t>seksualizovanog</w:t>
      </w:r>
      <w:proofErr w:type="spellEnd"/>
      <w:r w:rsidR="000E7B1A" w:rsidRPr="00A75F74">
        <w:t xml:space="preserve"> teksta ili slika</w:t>
      </w:r>
      <w:r w:rsidR="005F158A">
        <w:t xml:space="preserve"> bez konsenzusa</w:t>
      </w:r>
      <w:r w:rsidR="000E7B1A" w:rsidRPr="00A75F74">
        <w:t xml:space="preserve">, kao što je </w:t>
      </w:r>
      <w:proofErr w:type="spellStart"/>
      <w:r w:rsidR="000E7B1A" w:rsidRPr="00A75F74">
        <w:t>sopstven</w:t>
      </w:r>
      <w:r w:rsidR="005F158A">
        <w:t>o</w:t>
      </w:r>
      <w:r w:rsidR="005F158A" w:rsidRPr="00A75F74">
        <w:t>generisan</w:t>
      </w:r>
      <w:proofErr w:type="spellEnd"/>
      <w:r w:rsidR="005F158A" w:rsidRPr="00A75F74">
        <w:t xml:space="preserve"> </w:t>
      </w:r>
      <w:r w:rsidR="000E7B1A" w:rsidRPr="00A75F74">
        <w:t xml:space="preserve">sadržaj </w:t>
      </w:r>
      <w:r w:rsidR="005F158A">
        <w:t xml:space="preserve">na </w:t>
      </w:r>
      <w:proofErr w:type="spellStart"/>
      <w:r w:rsidR="005F158A">
        <w:t>onsovu</w:t>
      </w:r>
      <w:proofErr w:type="spellEnd"/>
      <w:r w:rsidR="005F158A">
        <w:t xml:space="preserve"> podsticanja </w:t>
      </w:r>
      <w:r w:rsidR="000E7B1A" w:rsidRPr="00A75F74">
        <w:t>i/ili prinud</w:t>
      </w:r>
      <w:r w:rsidR="005F158A">
        <w:t>e</w:t>
      </w:r>
      <w:r w:rsidR="000E7B1A" w:rsidRPr="00A75F74">
        <w:t xml:space="preserve">, i promocija </w:t>
      </w:r>
      <w:proofErr w:type="spellStart"/>
      <w:r w:rsidR="000E7B1A" w:rsidRPr="00A75F74">
        <w:t>samopovređujućih</w:t>
      </w:r>
      <w:proofErr w:type="spellEnd"/>
      <w:r w:rsidR="000E7B1A" w:rsidRPr="00A75F74">
        <w:t xml:space="preserve"> ponašanja, poput sečenja, samoubilačkog ponašanja ili </w:t>
      </w:r>
      <w:r w:rsidR="005F158A" w:rsidRPr="00A75F74">
        <w:t>poremećaja</w:t>
      </w:r>
      <w:r w:rsidR="000E7B1A" w:rsidRPr="00A75F74">
        <w:t xml:space="preserve"> u ishrani. Tamo gde su</w:t>
      </w:r>
      <w:r w:rsidR="006E2F03" w:rsidRPr="00A75F74">
        <w:t xml:space="preserve"> deca </w:t>
      </w:r>
      <w:r w:rsidR="005F158A">
        <w:t>vršila</w:t>
      </w:r>
      <w:r w:rsidR="006E2F03" w:rsidRPr="00A75F74">
        <w:t xml:space="preserve"> </w:t>
      </w:r>
      <w:r w:rsidR="006E2F03" w:rsidRPr="00A75F74">
        <w:lastRenderedPageBreak/>
        <w:t xml:space="preserve">takve radnje, </w:t>
      </w:r>
      <w:r w:rsidR="005F158A">
        <w:t>d</w:t>
      </w:r>
      <w:r w:rsidR="000E7B1A" w:rsidRPr="00A75F74">
        <w:t xml:space="preserve">ržave </w:t>
      </w:r>
      <w:proofErr w:type="spellStart"/>
      <w:r w:rsidR="005F158A" w:rsidRPr="00A75F74">
        <w:t>ugovornice</w:t>
      </w:r>
      <w:r w:rsidR="000E7B1A" w:rsidRPr="00A75F74">
        <w:t>treba</w:t>
      </w:r>
      <w:proofErr w:type="spellEnd"/>
      <w:r w:rsidR="000E7B1A" w:rsidRPr="00A75F74">
        <w:t xml:space="preserve"> da slede preventivne, zaštitne i </w:t>
      </w:r>
      <w:proofErr w:type="spellStart"/>
      <w:r w:rsidR="005F158A">
        <w:t>korektivnepravne</w:t>
      </w:r>
      <w:proofErr w:type="spellEnd"/>
      <w:r w:rsidR="005F158A">
        <w:t xml:space="preserve"> </w:t>
      </w:r>
      <w:r w:rsidR="000E7B1A" w:rsidRPr="00A75F74">
        <w:t xml:space="preserve">pristupe prema uključenoj deci kad god je to </w:t>
      </w:r>
      <w:r w:rsidR="005F158A" w:rsidRPr="00A75F74">
        <w:t>moguće</w:t>
      </w:r>
      <w:r w:rsidR="000E7B1A" w:rsidRPr="00A75F74">
        <w:t>.</w:t>
      </w:r>
      <w:r w:rsidR="005F158A">
        <w:rPr>
          <w:rStyle w:val="FootnoteReference"/>
        </w:rPr>
        <w:footnoteReference w:id="39"/>
      </w:r>
    </w:p>
    <w:p w:rsidR="00D57025" w:rsidRPr="00A75F74" w:rsidRDefault="00D57025" w:rsidP="00D57025">
      <w:pPr>
        <w:pStyle w:val="SingleTxtG"/>
      </w:pPr>
      <w:r w:rsidRPr="00A75F74">
        <w:t>82.</w:t>
      </w:r>
      <w:r w:rsidRPr="00A75F74">
        <w:tab/>
        <w:t xml:space="preserve">Države </w:t>
      </w:r>
      <w:proofErr w:type="spellStart"/>
      <w:r w:rsidR="005F158A" w:rsidRPr="00A75F74">
        <w:t>ugovornice</w:t>
      </w:r>
      <w:r w:rsidR="000772B7" w:rsidRPr="00A75F74">
        <w:t>treba</w:t>
      </w:r>
      <w:proofErr w:type="spellEnd"/>
      <w:r w:rsidR="005F158A">
        <w:t xml:space="preserve"> da</w:t>
      </w:r>
      <w:r w:rsidRPr="00A75F74">
        <w:t xml:space="preserve"> </w:t>
      </w:r>
      <w:proofErr w:type="spellStart"/>
      <w:r w:rsidRPr="00A75F74">
        <w:t>preduz</w:t>
      </w:r>
      <w:r w:rsidR="005F158A">
        <w:t>mu</w:t>
      </w:r>
      <w:r w:rsidR="000772B7" w:rsidRPr="00A75F74">
        <w:t>zakonodavne</w:t>
      </w:r>
      <w:proofErr w:type="spellEnd"/>
      <w:r w:rsidR="000772B7" w:rsidRPr="00A75F74">
        <w:t xml:space="preserve"> i administrativne mere za zaštitu d</w:t>
      </w:r>
      <w:r w:rsidRPr="00A75F74">
        <w:t xml:space="preserve">ece od nasilja u digitalnom okruženju, </w:t>
      </w:r>
      <w:r w:rsidR="005F158A" w:rsidRPr="00A75F74">
        <w:t>uključujući</w:t>
      </w:r>
      <w:r w:rsidRPr="00A75F74">
        <w:t xml:space="preserve"> redovnu reviziju, ažuriranje i provođenje </w:t>
      </w:r>
      <w:r w:rsidR="005F158A">
        <w:t>snažnih</w:t>
      </w:r>
      <w:r w:rsidRPr="00A75F74">
        <w:t xml:space="preserve"> zakonodavnih, regulatornih i insti</w:t>
      </w:r>
      <w:r w:rsidR="000772B7" w:rsidRPr="00A75F74">
        <w:t>tucionalnih okvira koji štite d</w:t>
      </w:r>
      <w:r w:rsidRPr="00A75F74">
        <w:t xml:space="preserve">ecu od prepoznatih i novih rizika od svih oblika nasilja u digitalnom okruženju. Takvi rizici uključuju fizičko ili mentalno nasilje, povredu ili </w:t>
      </w:r>
      <w:r w:rsidR="007A1036">
        <w:t>zloupotrebu</w:t>
      </w:r>
      <w:r w:rsidRPr="00A75F74">
        <w:t xml:space="preserve">, zanemarivanje ili maltretiranje, eksploataciju i </w:t>
      </w:r>
      <w:r w:rsidR="007A1036">
        <w:t>zloupotrebu</w:t>
      </w:r>
      <w:r w:rsidRPr="00A75F74">
        <w:t xml:space="preserve">, </w:t>
      </w:r>
      <w:r w:rsidR="007A1036" w:rsidRPr="00A75F74">
        <w:t>uključujući</w:t>
      </w:r>
      <w:r w:rsidRPr="00A75F74">
        <w:t xml:space="preserve"> seksualno </w:t>
      </w:r>
      <w:r w:rsidR="007A1036" w:rsidRPr="00A75F74">
        <w:t>iskorišćavanje</w:t>
      </w:r>
      <w:r w:rsidRPr="00A75F74">
        <w:t xml:space="preserve"> i </w:t>
      </w:r>
      <w:r w:rsidR="007A1036">
        <w:t>zloupotrebu</w:t>
      </w:r>
      <w:r w:rsidRPr="00A75F74">
        <w:t xml:space="preserve">, trgovinu decom, rodno zasnovano nasilje, </w:t>
      </w:r>
      <w:r w:rsidR="007A1036">
        <w:t>sajber-agresiju</w:t>
      </w:r>
      <w:r w:rsidRPr="00A75F74">
        <w:t xml:space="preserve">, </w:t>
      </w:r>
      <w:r w:rsidR="007A1036">
        <w:t>sajber-</w:t>
      </w:r>
      <w:r w:rsidRPr="00A75F74">
        <w:t xml:space="preserve">napade i </w:t>
      </w:r>
      <w:r w:rsidR="007A1036" w:rsidRPr="00A75F74">
        <w:t>informac</w:t>
      </w:r>
      <w:r w:rsidR="007A1036">
        <w:t>ioni</w:t>
      </w:r>
      <w:r w:rsidRPr="00A75F74">
        <w:t xml:space="preserve"> rat. Države </w:t>
      </w:r>
      <w:proofErr w:type="spellStart"/>
      <w:r w:rsidR="00E00DE1" w:rsidRPr="00A75F74">
        <w:t>ugovornice</w:t>
      </w:r>
      <w:proofErr w:type="spellEnd"/>
      <w:r w:rsidRPr="00A75F74">
        <w:t xml:space="preserve"> treba da primene mere </w:t>
      </w:r>
      <w:r w:rsidR="007A1036">
        <w:t>sigurnosti</w:t>
      </w:r>
      <w:r w:rsidRPr="00A75F74">
        <w:t xml:space="preserve"> i zaštite u skladu sa </w:t>
      </w:r>
      <w:r w:rsidR="007A1036">
        <w:t>razvojnim</w:t>
      </w:r>
      <w:r w:rsidRPr="00A75F74">
        <w:t xml:space="preserve"> kapacitetima</w:t>
      </w:r>
      <w:r w:rsidR="007A1036">
        <w:t xml:space="preserve"> deteta</w:t>
      </w:r>
      <w:r w:rsidRPr="00A75F74">
        <w:t>.</w:t>
      </w:r>
    </w:p>
    <w:p w:rsidR="00D57025" w:rsidRPr="00A75F74" w:rsidRDefault="00D57025" w:rsidP="000E7B1A">
      <w:pPr>
        <w:pStyle w:val="SingleTxtG"/>
      </w:pPr>
      <w:r w:rsidRPr="00A75F74">
        <w:t>83.</w:t>
      </w:r>
      <w:r w:rsidRPr="00A75F74">
        <w:tab/>
      </w:r>
      <w:r w:rsidR="00E00DE1" w:rsidRPr="00A75F74">
        <w:t xml:space="preserve">Digitalno okruženje može otvoriti nove načine za nedržavne grupe, </w:t>
      </w:r>
      <w:r w:rsidR="007A1036" w:rsidRPr="00A75F74">
        <w:t>uključujući</w:t>
      </w:r>
      <w:r w:rsidR="00E00DE1" w:rsidRPr="00A75F74">
        <w:t xml:space="preserve"> oružane grupe označene kao terorističke ili nasiln</w:t>
      </w:r>
      <w:r w:rsidR="007A1036">
        <w:t>o</w:t>
      </w:r>
      <w:r w:rsidR="00E00DE1" w:rsidRPr="00A75F74">
        <w:t xml:space="preserve"> ekstremističke, da vrbuju i </w:t>
      </w:r>
      <w:r w:rsidR="007A1036" w:rsidRPr="00A75F74">
        <w:t>iskorišćavaju</w:t>
      </w:r>
      <w:r w:rsidR="00E00DE1" w:rsidRPr="00A75F74">
        <w:t xml:space="preserve"> decu da bi se uključila u nasilje ili učestvovala u njemu. Države </w:t>
      </w:r>
      <w:proofErr w:type="spellStart"/>
      <w:r w:rsidR="00E00DE1" w:rsidRPr="00A75F74">
        <w:t>ugovornice</w:t>
      </w:r>
      <w:proofErr w:type="spellEnd"/>
      <w:r w:rsidR="00E00DE1" w:rsidRPr="00A75F74">
        <w:t xml:space="preserve"> </w:t>
      </w:r>
      <w:r w:rsidR="00AE3B48" w:rsidRPr="00A75F74">
        <w:t>trebalo</w:t>
      </w:r>
      <w:r w:rsidR="00E00DE1" w:rsidRPr="00A75F74">
        <w:t xml:space="preserve"> bi </w:t>
      </w:r>
      <w:r w:rsidR="00AE3B48" w:rsidRPr="00A75F74">
        <w:t>da osiguraju</w:t>
      </w:r>
      <w:r w:rsidR="00E00DE1" w:rsidRPr="00A75F74">
        <w:t xml:space="preserve"> da zakon</w:t>
      </w:r>
      <w:r w:rsidR="00AE3B48" w:rsidRPr="00A75F74">
        <w:t>odavstvo zabranjuje vrbovanje d</w:t>
      </w:r>
      <w:r w:rsidR="00E00DE1" w:rsidRPr="00A75F74">
        <w:t>ece od strane terorističkih ili nasiln</w:t>
      </w:r>
      <w:r w:rsidR="007A1036">
        <w:t>o</w:t>
      </w:r>
      <w:r w:rsidR="00E00DE1" w:rsidRPr="00A75F74">
        <w:t xml:space="preserve"> ekstremističkih grupa. Decu optuženu za krivična dela u tom kontekstu trebalo bi tretirati prvenstveno kao žrtve, ali ako se optužuj</w:t>
      </w:r>
      <w:r w:rsidR="007A1036">
        <w:t>u</w:t>
      </w:r>
      <w:r w:rsidR="00E00DE1" w:rsidRPr="00A75F74">
        <w:t>, trebalo bi primeniti sistem pravosuđa za decu.</w:t>
      </w:r>
    </w:p>
    <w:p w:rsidR="00DE3C3C" w:rsidRPr="00A75F74" w:rsidRDefault="00DE3C3C" w:rsidP="00DE3C3C">
      <w:pPr>
        <w:pStyle w:val="HChG"/>
      </w:pPr>
      <w:r w:rsidRPr="00A75F74">
        <w:tab/>
        <w:t>VIII.</w:t>
      </w:r>
      <w:r w:rsidRPr="00A75F74">
        <w:tab/>
        <w:t xml:space="preserve">Porodično okruženje i </w:t>
      </w:r>
      <w:proofErr w:type="spellStart"/>
      <w:r w:rsidRPr="00A75F74">
        <w:t>alternativn</w:t>
      </w:r>
      <w:r w:rsidR="005F158A">
        <w:t>ostaranje</w:t>
      </w:r>
      <w:proofErr w:type="spellEnd"/>
    </w:p>
    <w:p w:rsidR="00DE3C3C" w:rsidRPr="00A75F74" w:rsidRDefault="00DE3C3C" w:rsidP="00DE3C3C">
      <w:pPr>
        <w:pStyle w:val="SingleTxtG"/>
      </w:pPr>
      <w:r w:rsidRPr="00A75F74">
        <w:t>84.</w:t>
      </w:r>
      <w:r w:rsidRPr="00A75F74">
        <w:tab/>
      </w:r>
      <w:r w:rsidR="00E85023" w:rsidRPr="00A75F74">
        <w:t xml:space="preserve">Mnogi roditelji i </w:t>
      </w:r>
      <w:r w:rsidR="00F16666">
        <w:t>staraoci</w:t>
      </w:r>
      <w:r w:rsidR="00E85023" w:rsidRPr="00A75F74">
        <w:t xml:space="preserve"> zahtevaju podršku da bi razvili tehnološko razumevanje, kapacitet i veštine neophodne za </w:t>
      </w:r>
      <w:r w:rsidR="007D20D2" w:rsidRPr="00A75F74">
        <w:t>pomoć</w:t>
      </w:r>
      <w:r w:rsidR="00E85023" w:rsidRPr="00A75F74">
        <w:t xml:space="preserve">́ deci u odnosu na digitalno okruženje. Države </w:t>
      </w:r>
      <w:proofErr w:type="spellStart"/>
      <w:r w:rsidR="00E85023" w:rsidRPr="00A75F74">
        <w:t>ugovornice</w:t>
      </w:r>
      <w:proofErr w:type="spellEnd"/>
      <w:r w:rsidR="00E85023" w:rsidRPr="00A75F74">
        <w:t xml:space="preserve"> treba da osiguraju da roditelji i </w:t>
      </w:r>
      <w:r w:rsidR="00F16666">
        <w:t>staraoci</w:t>
      </w:r>
      <w:r w:rsidR="00E85023" w:rsidRPr="00A75F74">
        <w:t xml:space="preserve"> imaju </w:t>
      </w:r>
      <w:r w:rsidR="007D20D2" w:rsidRPr="00A75F74">
        <w:t>mogućnosti</w:t>
      </w:r>
      <w:r w:rsidR="00E85023" w:rsidRPr="00A75F74">
        <w:t xml:space="preserve"> da steknu digitalnu pismenost, da nauče kako tehnologija može podržati prava dece i </w:t>
      </w:r>
      <w:r w:rsidR="007D20D2">
        <w:t xml:space="preserve">kako </w:t>
      </w:r>
      <w:r w:rsidR="00E85023" w:rsidRPr="00A75F74">
        <w:t>da prepoznaju dete koje je žrtva povre</w:t>
      </w:r>
      <w:r w:rsidR="007D20D2">
        <w:t>đivanja</w:t>
      </w:r>
      <w:r w:rsidR="00E85023" w:rsidRPr="00A75F74">
        <w:t xml:space="preserve"> na mreži</w:t>
      </w:r>
      <w:r w:rsidR="007D20D2">
        <w:t>, kao</w:t>
      </w:r>
      <w:r w:rsidR="00E85023" w:rsidRPr="00A75F74">
        <w:t xml:space="preserve"> i </w:t>
      </w:r>
      <w:r w:rsidR="007D20D2">
        <w:t xml:space="preserve">kako da reaguju na </w:t>
      </w:r>
      <w:r w:rsidR="007D20D2" w:rsidRPr="00A75F74">
        <w:t>odgovarajuć</w:t>
      </w:r>
      <w:r w:rsidR="007D20D2">
        <w:t>i način</w:t>
      </w:r>
      <w:r w:rsidR="00E85023" w:rsidRPr="00A75F74">
        <w:t xml:space="preserve">. Posebnu pažnju treba posvetiti roditeljima i </w:t>
      </w:r>
      <w:r w:rsidR="00864FFA">
        <w:t>staraocima</w:t>
      </w:r>
      <w:r w:rsidR="00E85023" w:rsidRPr="00A75F74">
        <w:t xml:space="preserve"> dece u nepovoljnim ili ranjivim situacijama.</w:t>
      </w:r>
    </w:p>
    <w:p w:rsidR="00270850" w:rsidRPr="00A75F74" w:rsidRDefault="00DE3C3C" w:rsidP="00E85023">
      <w:pPr>
        <w:pStyle w:val="SingleTxtG"/>
      </w:pPr>
      <w:r w:rsidRPr="00A75F74">
        <w:t>85.</w:t>
      </w:r>
      <w:r w:rsidRPr="00A75F74">
        <w:tab/>
      </w:r>
      <w:r w:rsidR="007D20D2" w:rsidRPr="00A75F74">
        <w:t>Podržavajući</w:t>
      </w:r>
      <w:r w:rsidR="00A2500D" w:rsidRPr="00A75F74">
        <w:t xml:space="preserve"> i </w:t>
      </w:r>
      <w:r w:rsidR="007D20D2" w:rsidRPr="00A75F74">
        <w:t>usmeravajući</w:t>
      </w:r>
      <w:r w:rsidR="00A2500D" w:rsidRPr="00A75F74">
        <w:t xml:space="preserve"> roditelje i </w:t>
      </w:r>
      <w:r w:rsidR="00F16666">
        <w:t>staraoce</w:t>
      </w:r>
      <w:r w:rsidR="00A2500D" w:rsidRPr="00A75F74">
        <w:t xml:space="preserve"> u vezi sa digitalnim okruženjem, </w:t>
      </w:r>
      <w:r w:rsidR="007D20D2">
        <w:t>d</w:t>
      </w:r>
      <w:r w:rsidR="00A2500D" w:rsidRPr="00A75F74">
        <w:t xml:space="preserve">ržave </w:t>
      </w:r>
      <w:proofErr w:type="spellStart"/>
      <w:r w:rsidR="00F35684" w:rsidRPr="00A75F74">
        <w:t>ugovornice</w:t>
      </w:r>
      <w:proofErr w:type="spellEnd"/>
      <w:r w:rsidR="00F35684" w:rsidRPr="00A75F74">
        <w:t xml:space="preserve"> </w:t>
      </w:r>
      <w:r w:rsidR="00A2500D" w:rsidRPr="00A75F74">
        <w:t xml:space="preserve">treba da unaprede </w:t>
      </w:r>
      <w:r w:rsidR="007D20D2">
        <w:t>njihovu</w:t>
      </w:r>
      <w:r w:rsidR="00A2500D" w:rsidRPr="00A75F74">
        <w:t xml:space="preserve"> svest </w:t>
      </w:r>
      <w:r w:rsidR="007D20D2">
        <w:t>da</w:t>
      </w:r>
      <w:r w:rsidR="00A2500D" w:rsidRPr="00A75F74">
        <w:t xml:space="preserve"> </w:t>
      </w:r>
      <w:proofErr w:type="spellStart"/>
      <w:r w:rsidR="00A2500D" w:rsidRPr="00A75F74">
        <w:t>pošt</w:t>
      </w:r>
      <w:r w:rsidR="007D20D2">
        <w:t>uju</w:t>
      </w:r>
      <w:r w:rsidR="007D20D2" w:rsidRPr="00A75F74">
        <w:t>rastuć</w:t>
      </w:r>
      <w:r w:rsidR="007D20D2">
        <w:t>u</w:t>
      </w:r>
      <w:proofErr w:type="spellEnd"/>
      <w:r w:rsidR="00A2500D" w:rsidRPr="00A75F74">
        <w:t xml:space="preserve"> autonomij</w:t>
      </w:r>
      <w:r w:rsidR="007D20D2">
        <w:t>u</w:t>
      </w:r>
      <w:r w:rsidR="00A2500D" w:rsidRPr="00A75F74">
        <w:t xml:space="preserve"> dece i potreb</w:t>
      </w:r>
      <w:r w:rsidR="007D20D2">
        <w:t>u</w:t>
      </w:r>
      <w:r w:rsidR="00A2500D" w:rsidRPr="00A75F74">
        <w:t xml:space="preserve"> za </w:t>
      </w:r>
      <w:r w:rsidR="007D20D2" w:rsidRPr="00A75F74">
        <w:t>privatnošću</w:t>
      </w:r>
      <w:r w:rsidR="00A2500D" w:rsidRPr="00A75F74">
        <w:t xml:space="preserve">, u skladu sa njihovim </w:t>
      </w:r>
      <w:r w:rsidR="007D20D2">
        <w:t>razvojnim</w:t>
      </w:r>
      <w:r w:rsidR="00A2500D" w:rsidRPr="00A75F74">
        <w:t xml:space="preserve"> kapacitetima. Države </w:t>
      </w:r>
      <w:proofErr w:type="spellStart"/>
      <w:r w:rsidR="00A2500D" w:rsidRPr="00A75F74">
        <w:t>ugovornice</w:t>
      </w:r>
      <w:proofErr w:type="spellEnd"/>
      <w:r w:rsidR="00A2500D" w:rsidRPr="00A75F74">
        <w:t xml:space="preserve"> treba da uzmu u obzir da deca često prihvataju </w:t>
      </w:r>
      <w:r w:rsidR="007D20D2" w:rsidRPr="00A75F74">
        <w:t>digitaln</w:t>
      </w:r>
      <w:r w:rsidR="007D20D2">
        <w:t>e</w:t>
      </w:r>
      <w:r w:rsidR="007D20D2" w:rsidRPr="00A75F74">
        <w:t xml:space="preserve"> mogućnosti </w:t>
      </w:r>
      <w:r w:rsidR="00A2500D" w:rsidRPr="00A75F74">
        <w:t xml:space="preserve">i </w:t>
      </w:r>
      <w:r w:rsidR="007D20D2">
        <w:t xml:space="preserve">sa njima </w:t>
      </w:r>
      <w:r w:rsidR="00A2500D" w:rsidRPr="00A75F74">
        <w:t>eksperimentišu</w:t>
      </w:r>
      <w:r w:rsidR="007D20D2">
        <w:t>,</w:t>
      </w:r>
      <w:r w:rsidR="00A2500D" w:rsidRPr="00A75F74">
        <w:t xml:space="preserve"> i </w:t>
      </w:r>
      <w:r w:rsidR="007D20D2">
        <w:t xml:space="preserve">da se </w:t>
      </w:r>
      <w:r w:rsidR="00A2500D" w:rsidRPr="00A75F74">
        <w:t xml:space="preserve">mogu suočiti sa rizicima, </w:t>
      </w:r>
      <w:r w:rsidR="007D20D2" w:rsidRPr="00A75F74">
        <w:t>uključujući</w:t>
      </w:r>
      <w:r w:rsidR="00A2500D" w:rsidRPr="00A75F74">
        <w:t xml:space="preserve"> i mlađe</w:t>
      </w:r>
      <w:r w:rsidR="007D20D2">
        <w:t>m</w:t>
      </w:r>
      <w:r w:rsidR="00A2500D" w:rsidRPr="00A75F74">
        <w:t xml:space="preserve"> </w:t>
      </w:r>
      <w:proofErr w:type="spellStart"/>
      <w:r w:rsidR="00A2500D" w:rsidRPr="00A75F74">
        <w:t>dob</w:t>
      </w:r>
      <w:r w:rsidR="007D20D2">
        <w:t>uod</w:t>
      </w:r>
      <w:proofErr w:type="spellEnd"/>
      <w:r w:rsidR="007D20D2">
        <w:t xml:space="preserve"> onog koje</w:t>
      </w:r>
      <w:r w:rsidR="00A2500D" w:rsidRPr="00A75F74">
        <w:t xml:space="preserve"> roditelji i </w:t>
      </w:r>
      <w:r w:rsidR="00F16666">
        <w:t>staraoci</w:t>
      </w:r>
      <w:r w:rsidR="00A2500D" w:rsidRPr="00A75F74">
        <w:t xml:space="preserve"> mogu da predvide. Neka deca su </w:t>
      </w:r>
      <w:r w:rsidR="007D20D2">
        <w:t>izjavila</w:t>
      </w:r>
      <w:r w:rsidR="00A2500D" w:rsidRPr="00A75F74">
        <w:t xml:space="preserve"> da žele </w:t>
      </w:r>
      <w:r w:rsidR="007D20D2" w:rsidRPr="00A75F74">
        <w:t>veću</w:t>
      </w:r>
      <w:r w:rsidR="00A2500D" w:rsidRPr="00A75F74">
        <w:t xml:space="preserve"> podršku i ohrabrenje u svojim digitalnim aktivnostima, posebno tamo gde su smatrala da je pristup roditelja i </w:t>
      </w:r>
      <w:r w:rsidR="00F16666">
        <w:t>staraoca</w:t>
      </w:r>
      <w:r w:rsidR="00A2500D" w:rsidRPr="00A75F74">
        <w:t xml:space="preserve"> kazneni, preterano restriktivan ili neprilagođen njihovim </w:t>
      </w:r>
      <w:r w:rsidR="007D20D2">
        <w:t>razvojnim</w:t>
      </w:r>
      <w:r w:rsidR="00A2500D" w:rsidRPr="00A75F74">
        <w:t xml:space="preserve"> kapacitetima.</w:t>
      </w:r>
      <w:r w:rsidR="007D20D2">
        <w:rPr>
          <w:rStyle w:val="FootnoteReference"/>
        </w:rPr>
        <w:footnoteReference w:id="40"/>
      </w:r>
    </w:p>
    <w:p w:rsidR="00DE3C3C" w:rsidRPr="00A75F74" w:rsidRDefault="00DE3C3C" w:rsidP="00DE3C3C">
      <w:pPr>
        <w:pStyle w:val="SingleTxtG"/>
      </w:pPr>
      <w:r w:rsidRPr="00A75F74">
        <w:t>86.</w:t>
      </w:r>
      <w:r w:rsidRPr="00A75F74">
        <w:tab/>
      </w:r>
      <w:r w:rsidR="00F56397" w:rsidRPr="00A75F74">
        <w:t xml:space="preserve">Države </w:t>
      </w:r>
      <w:proofErr w:type="spellStart"/>
      <w:r w:rsidR="00F56397" w:rsidRPr="00A75F74">
        <w:t>ugovornice</w:t>
      </w:r>
      <w:proofErr w:type="spellEnd"/>
      <w:r w:rsidR="00F56397" w:rsidRPr="00A75F74">
        <w:t xml:space="preserve"> treba da uzmu u obzir da podrška i smernice koje se pružaju roditeljima i </w:t>
      </w:r>
      <w:r w:rsidR="00864FFA">
        <w:t>staraocima</w:t>
      </w:r>
      <w:r w:rsidR="00F56397" w:rsidRPr="00A75F74">
        <w:t xml:space="preserve"> treba da se zasnivaju na razumevanju specifičnosti i jedinstveno</w:t>
      </w:r>
      <w:r w:rsidR="005439AC">
        <w:t>m</w:t>
      </w:r>
      <w:r w:rsidR="00F56397" w:rsidRPr="00A75F74">
        <w:t xml:space="preserve"> odnos</w:t>
      </w:r>
      <w:r w:rsidR="005439AC">
        <w:t>u</w:t>
      </w:r>
      <w:r w:rsidR="00F56397" w:rsidRPr="00A75F74">
        <w:t xml:space="preserve"> roditelja i deteta. </w:t>
      </w:r>
      <w:proofErr w:type="spellStart"/>
      <w:r w:rsidR="00F56397" w:rsidRPr="00A75F74">
        <w:t>Takv</w:t>
      </w:r>
      <w:r w:rsidR="005439AC">
        <w:t>esmernice</w:t>
      </w:r>
      <w:proofErr w:type="spellEnd"/>
      <w:r w:rsidR="00F56397" w:rsidRPr="00A75F74">
        <w:t xml:space="preserve"> treba da podrže roditelje u održavanju </w:t>
      </w:r>
      <w:r w:rsidR="005439AC" w:rsidRPr="00A75F74">
        <w:t>odgovarajuće</w:t>
      </w:r>
      <w:r w:rsidR="00F56397" w:rsidRPr="00A75F74">
        <w:t xml:space="preserve"> ravnoteže između zaštite deteta i </w:t>
      </w:r>
      <w:r w:rsidR="005439AC">
        <w:t>njegove rastuće</w:t>
      </w:r>
      <w:r w:rsidR="00F56397" w:rsidRPr="00A75F74">
        <w:t xml:space="preserve"> autonomije, zasnovane na uzajamnoj empatiji i poštovanju, </w:t>
      </w:r>
      <w:r w:rsidR="005439AC">
        <w:t>umesto</w:t>
      </w:r>
      <w:r w:rsidR="00F56397" w:rsidRPr="00A75F74">
        <w:t xml:space="preserve"> zabran</w:t>
      </w:r>
      <w:r w:rsidR="005439AC">
        <w:t>e</w:t>
      </w:r>
      <w:r w:rsidR="00F56397" w:rsidRPr="00A75F74">
        <w:t xml:space="preserve"> ili kontrol</w:t>
      </w:r>
      <w:r w:rsidR="005439AC">
        <w:t>e</w:t>
      </w:r>
      <w:r w:rsidR="00F56397" w:rsidRPr="00A75F74">
        <w:t xml:space="preserve">. Da bi se roditeljima i </w:t>
      </w:r>
      <w:r w:rsidR="00864FFA">
        <w:t>staraocima</w:t>
      </w:r>
      <w:r w:rsidR="00F56397" w:rsidRPr="00A75F74">
        <w:t xml:space="preserve"> pomoglo da održe ravnotežu između roditeljskih odgovornosti i prava deteta, </w:t>
      </w:r>
      <w:r w:rsidR="005439AC" w:rsidRPr="00A75F74">
        <w:t>vodeći</w:t>
      </w:r>
      <w:r w:rsidR="00F56397" w:rsidRPr="00A75F74">
        <w:t xml:space="preserve"> principi treba da budu najbolji interesi deteta, primenjeni zajedno sa uzimanjem u obzir razvojnih </w:t>
      </w:r>
      <w:proofErr w:type="spellStart"/>
      <w:r w:rsidR="00F56397" w:rsidRPr="00A75F74">
        <w:t>kapaciteta</w:t>
      </w:r>
      <w:r w:rsidR="005439AC" w:rsidRPr="00A75F74">
        <w:t>detet</w:t>
      </w:r>
      <w:r w:rsidR="005439AC">
        <w:t>a</w:t>
      </w:r>
      <w:proofErr w:type="spellEnd"/>
      <w:r w:rsidR="00F56397" w:rsidRPr="00A75F74">
        <w:t xml:space="preserve">. </w:t>
      </w:r>
      <w:r w:rsidR="005439AC">
        <w:t>Smernice</w:t>
      </w:r>
      <w:r w:rsidR="00F56397" w:rsidRPr="00A75F74">
        <w:t xml:space="preserve"> za roditelje i </w:t>
      </w:r>
      <w:r w:rsidR="00F16666">
        <w:t>staraoce</w:t>
      </w:r>
      <w:r w:rsidR="00F56397" w:rsidRPr="00A75F74">
        <w:t xml:space="preserve"> treba da podstiču dečje društvene, kreativne i </w:t>
      </w:r>
      <w:r w:rsidR="005439AC">
        <w:t xml:space="preserve">obrazovne </w:t>
      </w:r>
      <w:r w:rsidR="00F56397" w:rsidRPr="00A75F74">
        <w:t xml:space="preserve">aktivnosti u digitalnom okruženju i naglašavaju da </w:t>
      </w:r>
      <w:r w:rsidR="00F56397" w:rsidRPr="00A75F74">
        <w:lastRenderedPageBreak/>
        <w:t>upotreba digitalnih tehnologija ne bi trebalo da zameni direktne reaktivne interakcije između same dece ili između dece i roditelja ili staratelja.</w:t>
      </w:r>
    </w:p>
    <w:p w:rsidR="00B67301" w:rsidRPr="00A75F74" w:rsidRDefault="00CB3DF7" w:rsidP="00CB3DF7">
      <w:pPr>
        <w:pStyle w:val="SingleTxtG"/>
      </w:pPr>
      <w:r w:rsidRPr="00A75F74">
        <w:t>87.</w:t>
      </w:r>
      <w:r w:rsidRPr="00A75F74">
        <w:tab/>
        <w:t>Važno je da deca odvojena od porodice imaju pristup digitalnim tehnologijama.</w:t>
      </w:r>
      <w:r w:rsidR="005439AC">
        <w:rPr>
          <w:rStyle w:val="FootnoteReference"/>
        </w:rPr>
        <w:footnoteReference w:id="41"/>
      </w:r>
      <w:r w:rsidRPr="00A75F74">
        <w:t xml:space="preserve"> Dokazi </w:t>
      </w:r>
      <w:r w:rsidR="008E376C">
        <w:t>svedoče</w:t>
      </w:r>
      <w:r w:rsidRPr="00A75F74">
        <w:t xml:space="preserve"> da su digitalne tehnologije korisne u održavanju porodičnih odnosa, na primer, u slučajevima roditeljske razdvojenosti, kada su deca smeštena u </w:t>
      </w:r>
      <w:proofErr w:type="spellStart"/>
      <w:r w:rsidRPr="00A75F74">
        <w:t>alternativn</w:t>
      </w:r>
      <w:r w:rsidR="008E376C">
        <w:t>ostarateljstvo</w:t>
      </w:r>
      <w:proofErr w:type="spellEnd"/>
      <w:r w:rsidRPr="00A75F74">
        <w:t xml:space="preserve">, radi uspostavljanja odnosa između dece i </w:t>
      </w:r>
      <w:proofErr w:type="spellStart"/>
      <w:r w:rsidR="008E376C" w:rsidRPr="00A75F74">
        <w:t>budućihusvojite</w:t>
      </w:r>
      <w:r w:rsidR="008E376C">
        <w:t>l</w:t>
      </w:r>
      <w:r w:rsidR="008E376C" w:rsidRPr="00A75F74">
        <w:t>ja</w:t>
      </w:r>
      <w:proofErr w:type="spellEnd"/>
      <w:r w:rsidRPr="00A75F74">
        <w:t xml:space="preserve"> ili hranitelja i ponovnog </w:t>
      </w:r>
      <w:r w:rsidR="008E376C">
        <w:t>spajanja</w:t>
      </w:r>
      <w:r w:rsidRPr="00A75F74">
        <w:t xml:space="preserve"> dece </w:t>
      </w:r>
      <w:r w:rsidR="008E376C" w:rsidRPr="00A75F74">
        <w:t xml:space="preserve">sa </w:t>
      </w:r>
      <w:r w:rsidR="008E376C">
        <w:t xml:space="preserve">njihovim </w:t>
      </w:r>
      <w:proofErr w:type="spellStart"/>
      <w:r w:rsidR="008E376C" w:rsidRPr="00A75F74">
        <w:t>porodicama</w:t>
      </w:r>
      <w:r w:rsidRPr="00A75F74">
        <w:t>u</w:t>
      </w:r>
      <w:proofErr w:type="spellEnd"/>
      <w:r w:rsidRPr="00A75F74">
        <w:t xml:space="preserve"> humanitarn</w:t>
      </w:r>
      <w:r w:rsidR="008E376C">
        <w:t>im</w:t>
      </w:r>
      <w:r w:rsidRPr="00A75F74">
        <w:t xml:space="preserve"> krizn</w:t>
      </w:r>
      <w:r w:rsidR="008E376C">
        <w:t>im</w:t>
      </w:r>
      <w:r w:rsidRPr="00A75F74">
        <w:t xml:space="preserve"> situacij</w:t>
      </w:r>
      <w:r w:rsidR="008E376C">
        <w:t>ama</w:t>
      </w:r>
      <w:r w:rsidRPr="00A75F74">
        <w:t>. Stoga, u k</w:t>
      </w:r>
      <w:r w:rsidR="00B67301" w:rsidRPr="00A75F74">
        <w:t xml:space="preserve">ontekstu razdvojenih porodica, </w:t>
      </w:r>
      <w:r w:rsidR="008E376C">
        <w:t>d</w:t>
      </w:r>
      <w:r w:rsidRPr="00A75F74">
        <w:t xml:space="preserve">ržave </w:t>
      </w:r>
      <w:proofErr w:type="spellStart"/>
      <w:r w:rsidR="00B67301" w:rsidRPr="00A75F74">
        <w:t>ugovornice</w:t>
      </w:r>
      <w:proofErr w:type="spellEnd"/>
      <w:r w:rsidR="00B67301" w:rsidRPr="00A75F74">
        <w:t xml:space="preserve"> </w:t>
      </w:r>
      <w:r w:rsidRPr="00A75F74">
        <w:t xml:space="preserve">treba da podrže pristup digitalnim uslugama za decu i njihove roditelje, </w:t>
      </w:r>
      <w:r w:rsidR="00F16666">
        <w:t>staraoce</w:t>
      </w:r>
      <w:r w:rsidRPr="00A75F74">
        <w:t xml:space="preserve"> ili druge relevantne osobe, </w:t>
      </w:r>
      <w:r w:rsidR="008E376C" w:rsidRPr="00A75F74">
        <w:t>uzimajući</w:t>
      </w:r>
      <w:r w:rsidRPr="00A75F74">
        <w:t xml:space="preserve"> u obzir bezbednost i najbolje interese deteta.</w:t>
      </w:r>
    </w:p>
    <w:p w:rsidR="00CB3DF7" w:rsidRPr="00A75F74" w:rsidRDefault="00CB3DF7" w:rsidP="00DE3C3C">
      <w:pPr>
        <w:pStyle w:val="SingleTxtG"/>
      </w:pPr>
      <w:r w:rsidRPr="00A75F74">
        <w:t>88.</w:t>
      </w:r>
      <w:r w:rsidRPr="00A75F74">
        <w:tab/>
      </w:r>
      <w:r w:rsidR="00220EBF" w:rsidRPr="00A75F74">
        <w:t xml:space="preserve">Preduzete mere za poboljšanje digitalne inkluzije treba da budu uravnotežene sa potrebom zaštite dece u slučajevima kada ih roditelji ili drugi članovi porodice ili </w:t>
      </w:r>
      <w:r w:rsidR="00F16666">
        <w:t>staraoci</w:t>
      </w:r>
      <w:r w:rsidR="00220EBF" w:rsidRPr="00A75F74">
        <w:t xml:space="preserve">, bilo fizički prisutni ili udaljeni, mogu dovesti u rizik. Države </w:t>
      </w:r>
      <w:proofErr w:type="spellStart"/>
      <w:r w:rsidR="00220EBF" w:rsidRPr="00A75F74">
        <w:t>ugovornice</w:t>
      </w:r>
      <w:proofErr w:type="spellEnd"/>
      <w:r w:rsidR="00220EBF" w:rsidRPr="00A75F74">
        <w:t xml:space="preserve"> treba da uzmu u obzir da se takvi rizici mogu </w:t>
      </w:r>
      <w:proofErr w:type="spellStart"/>
      <w:r w:rsidR="008E376C">
        <w:t>olakšati</w:t>
      </w:r>
      <w:r w:rsidR="00220EBF" w:rsidRPr="00A75F74">
        <w:t>dizajniranjem</w:t>
      </w:r>
      <w:proofErr w:type="spellEnd"/>
      <w:r w:rsidR="00220EBF" w:rsidRPr="00A75F74">
        <w:t xml:space="preserve"> i upotrebom digitalnih tehnologija, na primer otkrivanjem lokacije deteta potencijalnom </w:t>
      </w:r>
      <w:proofErr w:type="spellStart"/>
      <w:r w:rsidR="00220EBF" w:rsidRPr="00A75F74">
        <w:t>zlostavljaču</w:t>
      </w:r>
      <w:proofErr w:type="spellEnd"/>
      <w:r w:rsidR="00220EBF" w:rsidRPr="00A75F74">
        <w:t xml:space="preserve">. </w:t>
      </w:r>
      <w:r w:rsidR="008E376C">
        <w:t>One</w:t>
      </w:r>
      <w:r w:rsidR="00220EBF" w:rsidRPr="00A75F74">
        <w:t xml:space="preserve"> trebalo </w:t>
      </w:r>
      <w:r w:rsidR="008E376C">
        <w:t xml:space="preserve">da zahtevaju </w:t>
      </w:r>
      <w:r w:rsidR="00220EBF" w:rsidRPr="00A75F74">
        <w:t>pristup koji integriše bezbednost</w:t>
      </w:r>
      <w:r w:rsidR="008E376C">
        <w:t>-po-</w:t>
      </w:r>
      <w:r w:rsidR="00220EBF" w:rsidRPr="00A75F74">
        <w:t>dizajnu i privatnost</w:t>
      </w:r>
      <w:r w:rsidR="008E376C">
        <w:t>-</w:t>
      </w:r>
      <w:r w:rsidR="00220EBF" w:rsidRPr="00A75F74">
        <w:t>p</w:t>
      </w:r>
      <w:r w:rsidR="008E376C">
        <w:t>o-</w:t>
      </w:r>
      <w:r w:rsidR="00220EBF" w:rsidRPr="00A75F74">
        <w:t xml:space="preserve">dizajnu i da osiguraju da roditelji i </w:t>
      </w:r>
      <w:r w:rsidR="00F16666">
        <w:t>staraoci</w:t>
      </w:r>
      <w:r w:rsidR="00220EBF" w:rsidRPr="00A75F74">
        <w:t xml:space="preserve"> budu potpuno svesni rizika i dostupnih strategija za podršku i zaštitu dece.</w:t>
      </w:r>
    </w:p>
    <w:p w:rsidR="00722F9C" w:rsidRPr="00A75F74" w:rsidRDefault="00722F9C" w:rsidP="00722F9C">
      <w:pPr>
        <w:pStyle w:val="HChG"/>
      </w:pPr>
      <w:r w:rsidRPr="00A75F74">
        <w:tab/>
        <w:t>IX.</w:t>
      </w:r>
      <w:r w:rsidRPr="00A75F74">
        <w:tab/>
        <w:t xml:space="preserve">Deca </w:t>
      </w:r>
      <w:r w:rsidR="008E376C">
        <w:t>sa invaliditetom</w:t>
      </w:r>
    </w:p>
    <w:p w:rsidR="00FB47DC" w:rsidRPr="00A75F74" w:rsidRDefault="00FB47DC" w:rsidP="00FB47DC">
      <w:pPr>
        <w:pStyle w:val="SingleTxtG"/>
      </w:pPr>
      <w:r w:rsidRPr="00A75F74">
        <w:t>89.</w:t>
      </w:r>
      <w:r w:rsidRPr="00A75F74">
        <w:tab/>
        <w:t xml:space="preserve">Digitalno okruženje otvara nove </w:t>
      </w:r>
      <w:r w:rsidR="00D410F1" w:rsidRPr="00A75F74">
        <w:t>mogućnosti</w:t>
      </w:r>
      <w:r w:rsidRPr="00A75F74">
        <w:t xml:space="preserve"> dec</w:t>
      </w:r>
      <w:r w:rsidR="00D410F1">
        <w:t>i</w:t>
      </w:r>
      <w:r w:rsidRPr="00A75F74">
        <w:t xml:space="preserve"> sa </w:t>
      </w:r>
      <w:r w:rsidR="00D410F1">
        <w:t>invaliditetom</w:t>
      </w:r>
      <w:r w:rsidRPr="00A75F74">
        <w:t xml:space="preserve"> da se uključe u </w:t>
      </w:r>
      <w:r w:rsidR="00D410F1">
        <w:t>društvene</w:t>
      </w:r>
      <w:r w:rsidRPr="00A75F74">
        <w:t xml:space="preserve"> odnose sa vršnjacima, pristupe informacijama i učestvuju u javnim procesima donošenja odluka. Države </w:t>
      </w:r>
      <w:proofErr w:type="spellStart"/>
      <w:r w:rsidR="00FB1304" w:rsidRPr="00A75F74">
        <w:t>ugovornice</w:t>
      </w:r>
      <w:proofErr w:type="spellEnd"/>
      <w:r w:rsidR="00FB1304" w:rsidRPr="00A75F74">
        <w:t xml:space="preserve"> </w:t>
      </w:r>
      <w:r w:rsidRPr="00A75F74">
        <w:t xml:space="preserve">treba da slede te </w:t>
      </w:r>
      <w:r w:rsidR="00D410F1">
        <w:t>pravce</w:t>
      </w:r>
      <w:r w:rsidRPr="00A75F74">
        <w:t xml:space="preserve"> i preduzmu korake da spreče stvaranje novih prepreka i uklone </w:t>
      </w:r>
      <w:r w:rsidR="00D410F1" w:rsidRPr="00A75F74">
        <w:t>postojeće</w:t>
      </w:r>
      <w:r w:rsidRPr="00A75F74">
        <w:t xml:space="preserve"> prepreke sa kojima se suočavaju deca sa </w:t>
      </w:r>
      <w:r w:rsidR="00D410F1">
        <w:t>invaliditetom</w:t>
      </w:r>
      <w:r w:rsidRPr="00A75F74">
        <w:t xml:space="preserve"> u odnosu na digitalno okruženje.</w:t>
      </w:r>
    </w:p>
    <w:p w:rsidR="00FB47DC" w:rsidRPr="00A75F74" w:rsidRDefault="00FB47DC" w:rsidP="00FB47DC">
      <w:pPr>
        <w:pStyle w:val="SingleTxtG"/>
      </w:pPr>
      <w:r w:rsidRPr="00A75F74">
        <w:t>90.</w:t>
      </w:r>
      <w:r w:rsidRPr="00A75F74">
        <w:tab/>
      </w:r>
      <w:r w:rsidR="00FB1304" w:rsidRPr="00A75F74">
        <w:t xml:space="preserve">Deca sa različitim vrstama invaliditeta, </w:t>
      </w:r>
      <w:r w:rsidR="00D410F1" w:rsidRPr="00A75F74">
        <w:t>uključujući</w:t>
      </w:r>
      <w:r w:rsidR="00FB1304" w:rsidRPr="00A75F74">
        <w:t xml:space="preserve"> fizičke, intelektualne, </w:t>
      </w:r>
      <w:r w:rsidR="00D410F1" w:rsidRPr="00A75F74">
        <w:t>psiho</w:t>
      </w:r>
      <w:r w:rsidR="00D410F1">
        <w:t>-</w:t>
      </w:r>
      <w:r w:rsidR="00D410F1" w:rsidRPr="00A75F74">
        <w:t>socijalne</w:t>
      </w:r>
      <w:r w:rsidR="00FB1304" w:rsidRPr="00A75F74">
        <w:t xml:space="preserve">, slušne i vizuelne smetnje, suočavaju se sa različitim preprekama u pristupu digitalnom okruženju, poput sadržaja u nepristupačnim formatima, ograničenog </w:t>
      </w:r>
      <w:proofErr w:type="spellStart"/>
      <w:r w:rsidR="00FB1304" w:rsidRPr="00A75F74">
        <w:t>pristup</w:t>
      </w:r>
      <w:r w:rsidR="00D410F1">
        <w:t>aasistivnim</w:t>
      </w:r>
      <w:proofErr w:type="spellEnd"/>
      <w:r w:rsidR="00FB1304" w:rsidRPr="00A75F74">
        <w:t xml:space="preserve"> tehnologijama </w:t>
      </w:r>
      <w:proofErr w:type="spellStart"/>
      <w:r w:rsidR="00D410F1">
        <w:t>u</w:t>
      </w:r>
      <w:r w:rsidR="00D410F1" w:rsidRPr="00A75F74">
        <w:t>kući</w:t>
      </w:r>
      <w:proofErr w:type="spellEnd"/>
      <w:r w:rsidR="00FB1304" w:rsidRPr="00A75F74">
        <w:t>, u školi i u zajednic</w:t>
      </w:r>
      <w:r w:rsidR="00D410F1">
        <w:t>i,</w:t>
      </w:r>
      <w:r w:rsidR="00FB1304" w:rsidRPr="00A75F74">
        <w:t xml:space="preserve"> i </w:t>
      </w:r>
      <w:r w:rsidR="00D410F1">
        <w:t>sprečavanja</w:t>
      </w:r>
      <w:r w:rsidR="00FB1304" w:rsidRPr="00A75F74">
        <w:t xml:space="preserve"> upotrebe digitalnih uređaja u školama, zdravstvenim ustanovama i drugim sredinama. Države </w:t>
      </w:r>
      <w:proofErr w:type="spellStart"/>
      <w:r w:rsidR="00C700BD" w:rsidRPr="00A75F74">
        <w:t>ugovornice</w:t>
      </w:r>
      <w:proofErr w:type="spellEnd"/>
      <w:r w:rsidR="00C700BD" w:rsidRPr="00A75F74">
        <w:t xml:space="preserve"> </w:t>
      </w:r>
      <w:r w:rsidR="00FB1304" w:rsidRPr="00A75F74">
        <w:t>treba da obezbede da deca sa invaliditetom imaju pristup sadržaj</w:t>
      </w:r>
      <w:r w:rsidR="00D410F1">
        <w:t>ima</w:t>
      </w:r>
      <w:r w:rsidR="00FB1304" w:rsidRPr="00A75F74">
        <w:t xml:space="preserve"> u pristupačnim formatima i uklone politike koje imaju diskriminatorski uticaj na takvu decu. On</w:t>
      </w:r>
      <w:r w:rsidR="00D410F1">
        <w:t>e</w:t>
      </w:r>
      <w:r w:rsidR="00FB1304" w:rsidRPr="00A75F74">
        <w:t xml:space="preserve"> bi trebalo da obezbede pristup </w:t>
      </w:r>
      <w:proofErr w:type="spellStart"/>
      <w:r w:rsidR="00D410F1">
        <w:t>asistivnim</w:t>
      </w:r>
      <w:proofErr w:type="spellEnd"/>
      <w:r w:rsidR="00FB1304" w:rsidRPr="00A75F74">
        <w:t xml:space="preserve"> tehnologijama, gde je to potrebno, posebno za decu sa invaliditetom koja žive u siromaštvu, i da obezbede kampanje za podizanje svesti, obuku i resurse za decu sa invaliditetom, njihove porodice i osoblje u obrazovnim i drugim relevantnim uslovima, tako da oni mogu </w:t>
      </w:r>
      <w:r w:rsidR="00D410F1">
        <w:t>steknu</w:t>
      </w:r>
      <w:r w:rsidR="00FB1304" w:rsidRPr="00A75F74">
        <w:t xml:space="preserve"> dovoljno znanja i veština za efikasnu upotrebu digitalnih tehnologija.</w:t>
      </w:r>
    </w:p>
    <w:p w:rsidR="00C700BD" w:rsidRPr="00A75F74" w:rsidRDefault="00FB47DC" w:rsidP="00FB47DC">
      <w:pPr>
        <w:pStyle w:val="SingleTxtG"/>
      </w:pPr>
      <w:r w:rsidRPr="00A75F74">
        <w:t>91.</w:t>
      </w:r>
      <w:r w:rsidRPr="00A75F74">
        <w:tab/>
      </w:r>
      <w:r w:rsidR="008A1BE9" w:rsidRPr="00A75F74">
        <w:t xml:space="preserve">Države </w:t>
      </w:r>
      <w:proofErr w:type="spellStart"/>
      <w:r w:rsidR="00C700BD" w:rsidRPr="00A75F74">
        <w:t>ugovornice</w:t>
      </w:r>
      <w:proofErr w:type="spellEnd"/>
      <w:r w:rsidR="00C700BD" w:rsidRPr="00A75F74">
        <w:t xml:space="preserve"> </w:t>
      </w:r>
      <w:r w:rsidR="008A1BE9" w:rsidRPr="00A75F74">
        <w:t>treba da promovišu tehnološke inovacije koje ispunjavaju zahteve dece sa različitim vrstama invaliditeta i osiguraju da su digitalni proizvodi i usluge dizajnirani za univerzalnu dostupnost</w:t>
      </w:r>
      <w:r w:rsidR="00D410F1">
        <w:t>,</w:t>
      </w:r>
      <w:r w:rsidR="008A1BE9" w:rsidRPr="00A75F74">
        <w:t xml:space="preserve"> tako da ih mo</w:t>
      </w:r>
      <w:r w:rsidR="00D410F1">
        <w:t>gu</w:t>
      </w:r>
      <w:r w:rsidR="008A1BE9" w:rsidRPr="00A75F74">
        <w:t xml:space="preserve"> koristiti sva deca bez izuzetka i bez potrebe za prilagođavanjem. Deca sa invaliditetom treba da budu uključena u </w:t>
      </w:r>
      <w:proofErr w:type="spellStart"/>
      <w:r w:rsidR="008A1BE9" w:rsidRPr="00A75F74">
        <w:t>dizajniranje</w:t>
      </w:r>
      <w:proofErr w:type="spellEnd"/>
      <w:r w:rsidR="008A1BE9" w:rsidRPr="00A75F74">
        <w:t xml:space="preserve"> i </w:t>
      </w:r>
      <w:r w:rsidR="00D410F1">
        <w:t>realizaciju</w:t>
      </w:r>
      <w:r w:rsidR="008A1BE9" w:rsidRPr="00A75F74">
        <w:t xml:space="preserve"> politika, proizvoda i usluga koji utiču na ostvarivanje njihovih prava u digitalnom okruženju.</w:t>
      </w:r>
    </w:p>
    <w:p w:rsidR="00FB47DC" w:rsidRPr="00A75F74" w:rsidRDefault="00FB47DC" w:rsidP="00DC229D">
      <w:pPr>
        <w:pStyle w:val="SingleTxtG"/>
      </w:pPr>
      <w:r w:rsidRPr="00A75F74">
        <w:t>92.</w:t>
      </w:r>
      <w:r w:rsidRPr="00A75F74">
        <w:tab/>
      </w:r>
      <w:r w:rsidR="00F1080A" w:rsidRPr="00A75F74">
        <w:t xml:space="preserve">Deca sa </w:t>
      </w:r>
      <w:r w:rsidR="00D410F1">
        <w:t>invaliditetom</w:t>
      </w:r>
      <w:r w:rsidR="00F1080A" w:rsidRPr="00A75F74">
        <w:t xml:space="preserve"> mogu biti izloženija rizicima, </w:t>
      </w:r>
      <w:proofErr w:type="spellStart"/>
      <w:r w:rsidR="00D410F1" w:rsidRPr="00A75F74">
        <w:t>uključujući</w:t>
      </w:r>
      <w:r w:rsidR="00D410F1">
        <w:t>sajber</w:t>
      </w:r>
      <w:proofErr w:type="spellEnd"/>
      <w:r w:rsidR="00D410F1">
        <w:t>-agresiju</w:t>
      </w:r>
      <w:r w:rsidR="00F1080A" w:rsidRPr="00A75F74">
        <w:t xml:space="preserve"> i seksualno </w:t>
      </w:r>
      <w:r w:rsidR="00D410F1" w:rsidRPr="00A75F74">
        <w:t>iskorišćavanje</w:t>
      </w:r>
      <w:r w:rsidR="00F1080A" w:rsidRPr="00A75F74">
        <w:t xml:space="preserve"> i </w:t>
      </w:r>
      <w:r w:rsidR="00D410F1">
        <w:t>zloupotrebu</w:t>
      </w:r>
      <w:r w:rsidR="00F1080A" w:rsidRPr="00A75F74">
        <w:t xml:space="preserve">, u digitalnom okruženju. Države </w:t>
      </w:r>
      <w:proofErr w:type="spellStart"/>
      <w:r w:rsidR="00F1080A" w:rsidRPr="00A75F74">
        <w:t>ugovornice</w:t>
      </w:r>
      <w:proofErr w:type="spellEnd"/>
      <w:r w:rsidR="00F1080A" w:rsidRPr="00A75F74">
        <w:t xml:space="preserve"> treba da identifikuju i reše rizike sa kojima se suočavaju deca sa invaliditetom, </w:t>
      </w:r>
      <w:r w:rsidR="00D410F1" w:rsidRPr="00A75F74">
        <w:t>preduzimajući</w:t>
      </w:r>
      <w:r w:rsidR="00F1080A" w:rsidRPr="00A75F74">
        <w:t xml:space="preserve"> </w:t>
      </w:r>
      <w:r w:rsidR="00F1080A" w:rsidRPr="00A75F74">
        <w:lastRenderedPageBreak/>
        <w:t xml:space="preserve">mere da osiguraju da digitalno okruženje za </w:t>
      </w:r>
      <w:r w:rsidR="00D410F1">
        <w:t>tu decu bude</w:t>
      </w:r>
      <w:r w:rsidR="00F1080A" w:rsidRPr="00A75F74">
        <w:t xml:space="preserve"> bezbedno, istovremeno se </w:t>
      </w:r>
      <w:proofErr w:type="spellStart"/>
      <w:r w:rsidR="00D410F1" w:rsidRPr="00A75F74">
        <w:t>boreći</w:t>
      </w:r>
      <w:r w:rsidR="00CF7DFD">
        <w:t>protiv</w:t>
      </w:r>
      <w:proofErr w:type="spellEnd"/>
      <w:r w:rsidR="00F1080A" w:rsidRPr="00A75F74">
        <w:t xml:space="preserve"> predrasuda sa kojima se suočavaju deca sa </w:t>
      </w:r>
      <w:proofErr w:type="spellStart"/>
      <w:r w:rsidR="00F1080A" w:rsidRPr="00A75F74">
        <w:t>invaliditetom</w:t>
      </w:r>
      <w:r w:rsidR="00D410F1">
        <w:t>,a</w:t>
      </w:r>
      <w:proofErr w:type="spellEnd"/>
      <w:r w:rsidR="00D410F1">
        <w:t xml:space="preserve"> </w:t>
      </w:r>
      <w:r w:rsidR="00F1080A" w:rsidRPr="00A75F74">
        <w:t>koj</w:t>
      </w:r>
      <w:r w:rsidR="00D410F1">
        <w:t>e</w:t>
      </w:r>
      <w:r w:rsidR="00F1080A" w:rsidRPr="00A75F74">
        <w:t xml:space="preserve"> mogu dovesti do </w:t>
      </w:r>
      <w:r w:rsidR="00CF7DFD">
        <w:t>preterane</w:t>
      </w:r>
      <w:r w:rsidR="00F1080A" w:rsidRPr="00A75F74">
        <w:t xml:space="preserve"> zaštite ili isključenja. Informacije o bezbednosti, zaštitne strategije i javne informacije, usluge i forumi koji se odnose na digitalno okruženje treba da se </w:t>
      </w:r>
      <w:r w:rsidR="00CF7DFD">
        <w:t>obezbede</w:t>
      </w:r>
      <w:r w:rsidR="00F1080A" w:rsidRPr="00A75F74">
        <w:t xml:space="preserve"> u pristupačnim formatima.</w:t>
      </w:r>
    </w:p>
    <w:p w:rsidR="000579E4" w:rsidRPr="00A75F74" w:rsidRDefault="000579E4" w:rsidP="000579E4">
      <w:pPr>
        <w:pStyle w:val="HChG"/>
      </w:pPr>
      <w:r w:rsidRPr="00A75F74">
        <w:tab/>
        <w:t>X.</w:t>
      </w:r>
      <w:r w:rsidRPr="00A75F74">
        <w:tab/>
        <w:t xml:space="preserve">Zdravlje i </w:t>
      </w:r>
      <w:r w:rsidR="00CF7DFD">
        <w:t>blagostanje</w:t>
      </w:r>
    </w:p>
    <w:p w:rsidR="00043D47" w:rsidRPr="00A75F74" w:rsidRDefault="001502F0" w:rsidP="001502F0">
      <w:pPr>
        <w:pStyle w:val="SingleTxtG"/>
      </w:pPr>
      <w:r w:rsidRPr="00A75F74">
        <w:t>93.</w:t>
      </w:r>
      <w:r w:rsidRPr="00A75F74">
        <w:tab/>
        <w:t xml:space="preserve">Digitalne tehnologije mogu olakšati pristup zdravstvenim uslugama i informacijama i poboljšati usluge dijagnostike i lečenja </w:t>
      </w:r>
      <w:r w:rsidR="00DB5FD1">
        <w:t>kada su u pitanju</w:t>
      </w:r>
      <w:r w:rsidRPr="00A75F74">
        <w:t xml:space="preserve"> fizičko i mentalno zdravlje i ishran</w:t>
      </w:r>
      <w:r w:rsidR="00DB5FD1">
        <w:t>a</w:t>
      </w:r>
      <w:r w:rsidRPr="00A75F74">
        <w:t xml:space="preserve"> majki, novorođenčadi, dece i adolescenata. </w:t>
      </w:r>
      <w:r w:rsidR="00DB5FD1">
        <w:t>One t</w:t>
      </w:r>
      <w:r w:rsidRPr="00A75F74">
        <w:t xml:space="preserve">akođe nude značajne </w:t>
      </w:r>
      <w:proofErr w:type="spellStart"/>
      <w:r w:rsidR="00DB5FD1" w:rsidRPr="00A75F74">
        <w:t>mogućnosti</w:t>
      </w:r>
      <w:r w:rsidR="00DB5FD1">
        <w:t>d</w:t>
      </w:r>
      <w:r w:rsidRPr="00A75F74">
        <w:t>a</w:t>
      </w:r>
      <w:proofErr w:type="spellEnd"/>
      <w:r w:rsidRPr="00A75F74">
        <w:t xml:space="preserve"> </w:t>
      </w:r>
      <w:r w:rsidR="00DB5FD1">
        <w:t xml:space="preserve">se </w:t>
      </w:r>
      <w:r w:rsidRPr="00A75F74">
        <w:t>do</w:t>
      </w:r>
      <w:r w:rsidR="00DB5FD1">
        <w:t>pre do</w:t>
      </w:r>
      <w:r w:rsidRPr="00A75F74">
        <w:t xml:space="preserve"> dece u nepovoljnim ili ranjivim situacijama ili u udaljenim zajednicama. U vanrednim situacijama ili u zdravstvenim ili humanitarnim krizama pristup zdravstvenim uslugama i informacijama putem digitalnih tehnologija može postati jedina opcija.</w:t>
      </w:r>
    </w:p>
    <w:p w:rsidR="001502F0" w:rsidRPr="00A75F74" w:rsidRDefault="001502F0" w:rsidP="001502F0">
      <w:pPr>
        <w:pStyle w:val="SingleTxtG"/>
      </w:pPr>
      <w:r w:rsidRPr="00A75F74">
        <w:t>94.</w:t>
      </w:r>
      <w:r w:rsidRPr="00A75F74">
        <w:tab/>
      </w:r>
      <w:r w:rsidR="005C7D5F" w:rsidRPr="00A75F74">
        <w:t xml:space="preserve">Deca su </w:t>
      </w:r>
      <w:r w:rsidR="00DB5FD1">
        <w:t>izjavila</w:t>
      </w:r>
      <w:r w:rsidR="005C7D5F" w:rsidRPr="00A75F74">
        <w:t xml:space="preserve"> da cene traženje informacija </w:t>
      </w:r>
      <w:r w:rsidR="00DB5FD1" w:rsidRPr="00A75F74">
        <w:t>i podrške u vezi sa zdravljem i blagostanjem</w:t>
      </w:r>
      <w:r w:rsidR="00DB5FD1">
        <w:t xml:space="preserve"> putem interneta, što uključuje pitanja </w:t>
      </w:r>
      <w:r w:rsidR="005C7D5F" w:rsidRPr="00A75F74">
        <w:t>fizičko</w:t>
      </w:r>
      <w:r w:rsidR="00DB5FD1">
        <w:t>g</w:t>
      </w:r>
      <w:r w:rsidR="005C7D5F" w:rsidRPr="00A75F74">
        <w:t>, mentalno</w:t>
      </w:r>
      <w:r w:rsidR="00DB5FD1">
        <w:t>g</w:t>
      </w:r>
      <w:r w:rsidR="005C7D5F" w:rsidRPr="00A75F74">
        <w:t xml:space="preserve"> i seksualno</w:t>
      </w:r>
      <w:r w:rsidR="00DB5FD1">
        <w:t>g</w:t>
      </w:r>
      <w:r w:rsidR="005C7D5F" w:rsidRPr="00A75F74">
        <w:t xml:space="preserve"> i reproduktivno</w:t>
      </w:r>
      <w:r w:rsidR="00DB5FD1">
        <w:t>g</w:t>
      </w:r>
      <w:r w:rsidR="005C7D5F" w:rsidRPr="00A75F74">
        <w:t xml:space="preserve"> zdravlj</w:t>
      </w:r>
      <w:r w:rsidR="00DB5FD1">
        <w:t>a</w:t>
      </w:r>
      <w:r w:rsidR="005C7D5F" w:rsidRPr="00A75F74">
        <w:t>, pubertet</w:t>
      </w:r>
      <w:r w:rsidR="00DB5FD1">
        <w:t>a</w:t>
      </w:r>
      <w:r w:rsidR="005C7D5F" w:rsidRPr="00A75F74">
        <w:t>, seksualnost</w:t>
      </w:r>
      <w:r w:rsidR="00DB5FD1">
        <w:t>i</w:t>
      </w:r>
      <w:r w:rsidR="005C7D5F" w:rsidRPr="00A75F74">
        <w:t xml:space="preserve"> i </w:t>
      </w:r>
      <w:r w:rsidR="00DB5FD1" w:rsidRPr="00A75F74">
        <w:t>začeć</w:t>
      </w:r>
      <w:r w:rsidR="00DB5FD1">
        <w:t>a</w:t>
      </w:r>
      <w:r w:rsidR="005C7D5F" w:rsidRPr="00A75F74">
        <w:t>.</w:t>
      </w:r>
      <w:r w:rsidR="00DB5FD1">
        <w:rPr>
          <w:rStyle w:val="FootnoteReference"/>
        </w:rPr>
        <w:footnoteReference w:id="42"/>
      </w:r>
      <w:r w:rsidR="005C7D5F" w:rsidRPr="00A75F74">
        <w:t xml:space="preserve"> Adolescenti su posebno želeli pristup besplatnim, poverljivim, </w:t>
      </w:r>
      <w:r w:rsidR="00E866A5">
        <w:t>uzrastu prikladnim</w:t>
      </w:r>
      <w:r w:rsidR="005C7D5F" w:rsidRPr="00A75F74">
        <w:t xml:space="preserve"> i </w:t>
      </w:r>
      <w:proofErr w:type="spellStart"/>
      <w:r w:rsidR="00DB5FD1" w:rsidRPr="00A75F74">
        <w:t>nediskriminatorskim</w:t>
      </w:r>
      <w:proofErr w:type="spellEnd"/>
      <w:r w:rsidR="005C7D5F" w:rsidRPr="00A75F74">
        <w:t xml:space="preserve"> uslugama mentalnog zdravlja</w:t>
      </w:r>
      <w:r w:rsidR="00DB5FD1">
        <w:t>, kao</w:t>
      </w:r>
      <w:r w:rsidR="005C7D5F" w:rsidRPr="00A75F74">
        <w:t xml:space="preserve"> i usluga</w:t>
      </w:r>
      <w:r w:rsidR="00DB5FD1">
        <w:t>ma</w:t>
      </w:r>
      <w:r w:rsidR="005C7D5F" w:rsidRPr="00A75F74">
        <w:t xml:space="preserve"> seksualnog i reproduktivnog zdravlja na mreži.</w:t>
      </w:r>
      <w:r w:rsidR="00DB5FD1">
        <w:rPr>
          <w:rStyle w:val="FootnoteReference"/>
        </w:rPr>
        <w:footnoteReference w:id="43"/>
      </w:r>
      <w:r w:rsidR="005C7D5F" w:rsidRPr="00A75F74">
        <w:t xml:space="preserve"> Države </w:t>
      </w:r>
      <w:proofErr w:type="spellStart"/>
      <w:r w:rsidR="00557352" w:rsidRPr="00A75F74">
        <w:t>ugovornice</w:t>
      </w:r>
      <w:proofErr w:type="spellEnd"/>
      <w:r w:rsidR="00557352" w:rsidRPr="00A75F74">
        <w:t xml:space="preserve"> </w:t>
      </w:r>
      <w:r w:rsidR="005C7D5F" w:rsidRPr="00A75F74">
        <w:t xml:space="preserve">treba da osiguraju da deca imaju </w:t>
      </w:r>
      <w:r w:rsidR="00DB5FD1">
        <w:t>bezbedan</w:t>
      </w:r>
      <w:r w:rsidR="005C7D5F" w:rsidRPr="00A75F74">
        <w:t xml:space="preserve">, siguran i poverljiv pristup pouzdanim zdravstvenim informacijama i uslugama, </w:t>
      </w:r>
      <w:r w:rsidR="00DB5FD1" w:rsidRPr="00A75F74">
        <w:t>uključujući</w:t>
      </w:r>
      <w:r w:rsidR="005C7D5F" w:rsidRPr="00A75F74">
        <w:t xml:space="preserve"> usluge psihološkog savetovanja.</w:t>
      </w:r>
      <w:r w:rsidR="00DB5FD1">
        <w:rPr>
          <w:rStyle w:val="FootnoteReference"/>
        </w:rPr>
        <w:footnoteReference w:id="44"/>
      </w:r>
      <w:r w:rsidR="005C7D5F" w:rsidRPr="00A75F74">
        <w:t xml:space="preserve">Te usluge treba da ograniče obradu dečijih podataka na onu koja je neophodna za obavljanje usluge i treba da je pružaju profesionalci ili oni koji imaju </w:t>
      </w:r>
      <w:r w:rsidR="00DB5FD1" w:rsidRPr="00A75F74">
        <w:t>odgovarajuću</w:t>
      </w:r>
      <w:r w:rsidR="005C7D5F" w:rsidRPr="00A75F74">
        <w:t xml:space="preserve"> obuku, </w:t>
      </w:r>
      <w:r w:rsidR="00DB5FD1">
        <w:t>uz</w:t>
      </w:r>
      <w:r w:rsidR="005C7D5F" w:rsidRPr="00A75F74">
        <w:t xml:space="preserve"> uspostavlj</w:t>
      </w:r>
      <w:r w:rsidR="00DB5FD1">
        <w:t>anje</w:t>
      </w:r>
      <w:r w:rsidR="005C7D5F" w:rsidRPr="00A75F74">
        <w:t xml:space="preserve"> regulisani</w:t>
      </w:r>
      <w:r w:rsidR="00DB5FD1">
        <w:t>h</w:t>
      </w:r>
      <w:r w:rsidR="005C7D5F" w:rsidRPr="00A75F74">
        <w:t xml:space="preserve"> mehaniz</w:t>
      </w:r>
      <w:r w:rsidR="00DB5FD1">
        <w:t>a</w:t>
      </w:r>
      <w:r w:rsidR="005C7D5F" w:rsidRPr="00A75F74">
        <w:t xml:space="preserve">ma nadzora. Države </w:t>
      </w:r>
      <w:proofErr w:type="spellStart"/>
      <w:r w:rsidR="002A4730" w:rsidRPr="00A75F74">
        <w:t>ugovornice</w:t>
      </w:r>
      <w:proofErr w:type="spellEnd"/>
      <w:r w:rsidR="002A4730" w:rsidRPr="00A75F74">
        <w:t xml:space="preserve"> </w:t>
      </w:r>
      <w:r w:rsidR="005C7D5F" w:rsidRPr="00A75F74">
        <w:t xml:space="preserve">treba da osiguraju da digitalni zdravstveni proizvodi i usluge ne stvaraju ili </w:t>
      </w:r>
      <w:r w:rsidR="00E866A5" w:rsidRPr="00A75F74">
        <w:t>povećavaju</w:t>
      </w:r>
      <w:r w:rsidR="005C7D5F" w:rsidRPr="00A75F74">
        <w:t xml:space="preserve"> nejednakost u pristupu dece zdravstvenim uslugama.</w:t>
      </w:r>
    </w:p>
    <w:p w:rsidR="001502F0" w:rsidRPr="00A75F74" w:rsidRDefault="001502F0" w:rsidP="001502F0">
      <w:pPr>
        <w:pStyle w:val="SingleTxtG"/>
      </w:pPr>
      <w:r w:rsidRPr="00A75F74">
        <w:t>95.</w:t>
      </w:r>
      <w:r w:rsidRPr="00A75F74">
        <w:tab/>
      </w:r>
      <w:r w:rsidR="002A4730" w:rsidRPr="00A75F74">
        <w:t xml:space="preserve">Države </w:t>
      </w:r>
      <w:proofErr w:type="spellStart"/>
      <w:r w:rsidR="002A4730" w:rsidRPr="00A75F74">
        <w:t>ugovornice</w:t>
      </w:r>
      <w:proofErr w:type="spellEnd"/>
      <w:r w:rsidR="002A4730" w:rsidRPr="00A75F74">
        <w:t xml:space="preserve"> treba da podstiču i ulažu u istraživanje i razvoj koji </w:t>
      </w:r>
      <w:r w:rsidR="00E866A5">
        <w:t>su</w:t>
      </w:r>
      <w:r w:rsidR="002A4730" w:rsidRPr="00A75F74">
        <w:t xml:space="preserve"> usredsređen</w:t>
      </w:r>
      <w:r w:rsidR="00E866A5">
        <w:t>i</w:t>
      </w:r>
      <w:r w:rsidR="002A4730" w:rsidRPr="00A75F74">
        <w:t xml:space="preserve"> na posebne zdravstvene potrebe dece i koji promoviš</w:t>
      </w:r>
      <w:r w:rsidR="00E866A5">
        <w:t>u</w:t>
      </w:r>
      <w:r w:rsidR="002A4730" w:rsidRPr="00A75F74">
        <w:t xml:space="preserve"> pozitivne zdravstvene ishode </w:t>
      </w:r>
      <w:r w:rsidR="00E866A5">
        <w:t xml:space="preserve">za </w:t>
      </w:r>
      <w:r w:rsidR="002A4730" w:rsidRPr="00A75F74">
        <w:t>dec</w:t>
      </w:r>
      <w:r w:rsidR="00E866A5">
        <w:t>u</w:t>
      </w:r>
      <w:r w:rsidR="002A4730" w:rsidRPr="00A75F74">
        <w:t xml:space="preserve"> kroz tehnološki napredak. Digitalne usluge treba koristiti za dopunu ili poboljšanje pružanja zdravstvenih usluga deci.</w:t>
      </w:r>
      <w:r w:rsidR="00E866A5">
        <w:rPr>
          <w:rStyle w:val="FootnoteReference"/>
        </w:rPr>
        <w:footnoteReference w:id="45"/>
      </w:r>
      <w:r w:rsidR="002A4730" w:rsidRPr="00A75F74">
        <w:t xml:space="preserve"> Države </w:t>
      </w:r>
      <w:proofErr w:type="spellStart"/>
      <w:r w:rsidR="002A4730" w:rsidRPr="00A75F74">
        <w:t>ugovornice</w:t>
      </w:r>
      <w:proofErr w:type="spellEnd"/>
      <w:r w:rsidR="002A4730" w:rsidRPr="00A75F74">
        <w:t xml:space="preserve"> treba da uvedu ili ažuriraju propis</w:t>
      </w:r>
      <w:r w:rsidR="00E866A5">
        <w:t>e</w:t>
      </w:r>
      <w:r w:rsidR="002A4730" w:rsidRPr="00A75F74">
        <w:t xml:space="preserve"> kojim</w:t>
      </w:r>
      <w:r w:rsidR="00E866A5">
        <w:t>a</w:t>
      </w:r>
      <w:r w:rsidR="002A4730" w:rsidRPr="00A75F74">
        <w:t xml:space="preserve"> se od dobavljača zdravstvenih tehnologija i usluga zahteva </w:t>
      </w:r>
      <w:r w:rsidR="00E866A5" w:rsidRPr="00A75F74">
        <w:t xml:space="preserve">da u njihovu funkcionalnost, sadržaj i </w:t>
      </w:r>
      <w:proofErr w:type="spellStart"/>
      <w:r w:rsidR="00E866A5" w:rsidRPr="00A75F74">
        <w:t>distribuciju</w:t>
      </w:r>
      <w:r w:rsidR="002A4730" w:rsidRPr="00A75F74">
        <w:t>ugrade</w:t>
      </w:r>
      <w:proofErr w:type="spellEnd"/>
      <w:r w:rsidR="002A4730" w:rsidRPr="00A75F74">
        <w:t xml:space="preserve"> prava deteta.</w:t>
      </w:r>
    </w:p>
    <w:p w:rsidR="001502F0" w:rsidRPr="00A75F74" w:rsidRDefault="001502F0" w:rsidP="001502F0">
      <w:pPr>
        <w:pStyle w:val="SingleTxtG"/>
      </w:pPr>
      <w:r w:rsidRPr="00A75F74">
        <w:t>96.</w:t>
      </w:r>
      <w:r w:rsidRPr="00A75F74">
        <w:tab/>
      </w:r>
      <w:r w:rsidR="002A4730" w:rsidRPr="00A75F74">
        <w:t xml:space="preserve">Države </w:t>
      </w:r>
      <w:proofErr w:type="spellStart"/>
      <w:r w:rsidR="002A4730" w:rsidRPr="00A75F74">
        <w:t>ugovornice</w:t>
      </w:r>
      <w:proofErr w:type="spellEnd"/>
      <w:r w:rsidR="002A4730" w:rsidRPr="00A75F74">
        <w:t xml:space="preserve"> treba da </w:t>
      </w:r>
      <w:r w:rsidR="00E866A5">
        <w:t xml:space="preserve">uvedu </w:t>
      </w:r>
      <w:r w:rsidR="002A4730" w:rsidRPr="00A75F74">
        <w:t>regul</w:t>
      </w:r>
      <w:r w:rsidR="00E866A5">
        <w:t>ativu</w:t>
      </w:r>
      <w:r w:rsidR="002A4730" w:rsidRPr="00A75F74">
        <w:t xml:space="preserve"> protiv poznat</w:t>
      </w:r>
      <w:r w:rsidR="00E866A5">
        <w:t>ih uzroka</w:t>
      </w:r>
      <w:r w:rsidR="002A4730" w:rsidRPr="00A75F74">
        <w:t xml:space="preserve"> štete i da </w:t>
      </w:r>
      <w:proofErr w:type="spellStart"/>
      <w:r w:rsidR="002A4730" w:rsidRPr="00A75F74">
        <w:t>proaktivno</w:t>
      </w:r>
      <w:proofErr w:type="spellEnd"/>
      <w:r w:rsidR="002A4730" w:rsidRPr="00A75F74">
        <w:t xml:space="preserve"> razmotre nova istraživanja i dokaze u javnom zdravstvenom sektoru, kako bi sprečile širenje dezinformacija i materijala i usluga koji mogu naštetiti mentalnom ili fizičkom zdravlju dece. </w:t>
      </w:r>
      <w:r w:rsidR="00E866A5">
        <w:t>Moguće je da budu</w:t>
      </w:r>
      <w:r w:rsidR="002A4730" w:rsidRPr="00A75F74">
        <w:t xml:space="preserve"> potrebne i mere za sprečavanje nezdravog bavljenja digitalnim igrama ili društvenim medijima, kao što je </w:t>
      </w:r>
      <w:r w:rsidR="00E866A5">
        <w:t xml:space="preserve">uvođenje </w:t>
      </w:r>
      <w:r w:rsidR="002A4730" w:rsidRPr="00A75F74">
        <w:t>regula</w:t>
      </w:r>
      <w:r w:rsidR="00E866A5">
        <w:t>tive</w:t>
      </w:r>
      <w:r w:rsidR="002A4730" w:rsidRPr="00A75F74">
        <w:t xml:space="preserve"> protiv digitalnog dizajna koji podriva razvoj i prava de</w:t>
      </w:r>
      <w:r w:rsidR="00E866A5">
        <w:t>teta</w:t>
      </w:r>
      <w:r w:rsidR="002A4730" w:rsidRPr="00A75F74">
        <w:t>.</w:t>
      </w:r>
      <w:r w:rsidR="00E866A5">
        <w:rPr>
          <w:rStyle w:val="FootnoteReference"/>
        </w:rPr>
        <w:footnoteReference w:id="46"/>
      </w:r>
    </w:p>
    <w:p w:rsidR="00FA7B31" w:rsidRPr="00A75F74" w:rsidRDefault="001502F0" w:rsidP="001502F0">
      <w:pPr>
        <w:pStyle w:val="SingleTxtG"/>
      </w:pPr>
      <w:r w:rsidRPr="00A75F74">
        <w:t>97.</w:t>
      </w:r>
      <w:r w:rsidRPr="00A75F74">
        <w:tab/>
      </w:r>
      <w:r w:rsidR="00FA7B31" w:rsidRPr="00A75F74">
        <w:t xml:space="preserve">Države </w:t>
      </w:r>
      <w:proofErr w:type="spellStart"/>
      <w:r w:rsidR="00FA7B31" w:rsidRPr="00A75F74">
        <w:t>ugovornice</w:t>
      </w:r>
      <w:proofErr w:type="spellEnd"/>
      <w:r w:rsidR="00FA7B31" w:rsidRPr="00A75F74">
        <w:t xml:space="preserve"> treba da podstiču upotrebu digitalnih tehnologija za promociju zdravih stilova života, </w:t>
      </w:r>
      <w:r w:rsidR="00E866A5" w:rsidRPr="00A75F74">
        <w:t>uključujući</w:t>
      </w:r>
      <w:r w:rsidR="00FA7B31" w:rsidRPr="00A75F74">
        <w:t xml:space="preserve"> fizičk</w:t>
      </w:r>
      <w:r w:rsidR="00617848" w:rsidRPr="00A75F74">
        <w:t>u i društvenu aktivnost.</w:t>
      </w:r>
      <w:r w:rsidR="00E866A5">
        <w:rPr>
          <w:rStyle w:val="FootnoteReference"/>
        </w:rPr>
        <w:footnoteReference w:id="47"/>
      </w:r>
      <w:r w:rsidR="00617848" w:rsidRPr="00A75F74">
        <w:t xml:space="preserve"> Trebalo</w:t>
      </w:r>
      <w:r w:rsidR="00FA7B31" w:rsidRPr="00A75F74">
        <w:t xml:space="preserve"> bi da regulišu ciljano ili uzrastu neprikladno oglašavanje, marketing i druge relevantne digitalne usluge kako bi sprečil</w:t>
      </w:r>
      <w:r w:rsidR="00E866A5">
        <w:t>e</w:t>
      </w:r>
      <w:r w:rsidR="00FA7B31" w:rsidRPr="00A75F74">
        <w:t xml:space="preserve"> izloženost </w:t>
      </w:r>
      <w:r w:rsidR="00E866A5">
        <w:t xml:space="preserve">dece </w:t>
      </w:r>
      <w:r w:rsidR="00FA7B31" w:rsidRPr="00A75F74">
        <w:t xml:space="preserve">promociji nezdravih proizvoda, </w:t>
      </w:r>
      <w:r w:rsidR="00E866A5" w:rsidRPr="00A75F74">
        <w:t>uključujući</w:t>
      </w:r>
      <w:r w:rsidR="00FA7B31" w:rsidRPr="00A75F74">
        <w:t xml:space="preserve"> određenu </w:t>
      </w:r>
      <w:r w:rsidR="00FA7B31" w:rsidRPr="00A75F74">
        <w:lastRenderedPageBreak/>
        <w:t xml:space="preserve">hranu i </w:t>
      </w:r>
      <w:r w:rsidR="00E866A5" w:rsidRPr="00A75F74">
        <w:t>pić</w:t>
      </w:r>
      <w:r w:rsidR="00E866A5">
        <w:t>a</w:t>
      </w:r>
      <w:r w:rsidR="00FA7B31" w:rsidRPr="00A75F74">
        <w:t>, alkohol, drogu i duvan i druge nikotinske proizvode.</w:t>
      </w:r>
      <w:r w:rsidR="006F0281">
        <w:rPr>
          <w:rStyle w:val="FootnoteReference"/>
        </w:rPr>
        <w:footnoteReference w:id="48"/>
      </w:r>
      <w:r w:rsidR="00FA7B31" w:rsidRPr="00A75F74">
        <w:t xml:space="preserve"> Takvi propisi koji se odnose na digitalno okruženje treba da budu kompatibilni i da idu ukorak sa propisima u </w:t>
      </w:r>
      <w:proofErr w:type="spellStart"/>
      <w:r w:rsidR="00FA7B31" w:rsidRPr="00A75F74">
        <w:t>vanmrežnom</w:t>
      </w:r>
      <w:proofErr w:type="spellEnd"/>
      <w:r w:rsidR="00FA7B31" w:rsidRPr="00A75F74">
        <w:t xml:space="preserve"> okruženju.</w:t>
      </w:r>
    </w:p>
    <w:p w:rsidR="001502F0" w:rsidRPr="00A75F74" w:rsidRDefault="001502F0" w:rsidP="00194B95">
      <w:pPr>
        <w:pStyle w:val="SingleTxtG"/>
      </w:pPr>
      <w:r w:rsidRPr="00A75F74">
        <w:t>98.</w:t>
      </w:r>
      <w:r w:rsidRPr="00A75F74">
        <w:tab/>
      </w:r>
      <w:r w:rsidR="00194B95" w:rsidRPr="00A75F74">
        <w:t xml:space="preserve">Digitalne tehnologije nude deci višestruke </w:t>
      </w:r>
      <w:r w:rsidR="006F0281" w:rsidRPr="00A75F74">
        <w:t>mogućnosti</w:t>
      </w:r>
      <w:r w:rsidR="00194B95" w:rsidRPr="00A75F74">
        <w:t xml:space="preserve"> da poboljšaju svoje zdravlje i blagostanje, kada se uravnoteže sa njihovom potrebom za odmorom, vežbanjem i direktnom interakcijom sa vršnjacima, porodicama i zajednicama. Države </w:t>
      </w:r>
      <w:proofErr w:type="spellStart"/>
      <w:r w:rsidR="00194B95" w:rsidRPr="00A75F74">
        <w:t>ugovornice</w:t>
      </w:r>
      <w:proofErr w:type="spellEnd"/>
      <w:r w:rsidR="00194B95" w:rsidRPr="00A75F74">
        <w:t xml:space="preserve"> trebalo bi da razviju</w:t>
      </w:r>
      <w:r w:rsidR="006E1193" w:rsidRPr="00A75F74">
        <w:t xml:space="preserve"> sm</w:t>
      </w:r>
      <w:r w:rsidR="00194B95" w:rsidRPr="00A75F74">
        <w:t xml:space="preserve">ernice za decu, roditelje, </w:t>
      </w:r>
      <w:r w:rsidR="00F16666">
        <w:t>staraoce</w:t>
      </w:r>
      <w:r w:rsidR="00194B95" w:rsidRPr="00A75F74">
        <w:t xml:space="preserve"> i vaspitače u vezi sa </w:t>
      </w:r>
      <w:r w:rsidR="006F0281">
        <w:t>značajem</w:t>
      </w:r>
      <w:r w:rsidR="00194B95" w:rsidRPr="00A75F74">
        <w:t xml:space="preserve"> zdrave ravnoteže </w:t>
      </w:r>
      <w:r w:rsidR="006F0281">
        <w:t xml:space="preserve">između </w:t>
      </w:r>
      <w:r w:rsidR="00194B95" w:rsidRPr="00A75F74">
        <w:t xml:space="preserve">digitalnih i </w:t>
      </w:r>
      <w:proofErr w:type="spellStart"/>
      <w:r w:rsidR="00194B95" w:rsidRPr="00A75F74">
        <w:t>nedigitalnih</w:t>
      </w:r>
      <w:proofErr w:type="spellEnd"/>
      <w:r w:rsidR="00194B95" w:rsidRPr="00A75F74">
        <w:t xml:space="preserve"> aktivnosti i dovoljnog odmora.</w:t>
      </w:r>
    </w:p>
    <w:p w:rsidR="006E1193" w:rsidRPr="00A75F74" w:rsidRDefault="006E1193" w:rsidP="006E1193">
      <w:pPr>
        <w:pStyle w:val="HChG"/>
      </w:pPr>
      <w:r w:rsidRPr="00A75F74">
        <w:tab/>
        <w:t>XI.</w:t>
      </w:r>
      <w:r w:rsidRPr="00A75F74">
        <w:tab/>
        <w:t>Obrazovanje, razonoda i kulturne aktivnosti</w:t>
      </w:r>
    </w:p>
    <w:p w:rsidR="006E1193" w:rsidRPr="00A75F74" w:rsidRDefault="00732519" w:rsidP="00732519">
      <w:pPr>
        <w:pStyle w:val="H1G"/>
      </w:pPr>
      <w:r w:rsidRPr="00A75F74">
        <w:tab/>
      </w:r>
      <w:r w:rsidR="006E1193" w:rsidRPr="00A75F74">
        <w:t>A.</w:t>
      </w:r>
      <w:r w:rsidR="006E1193" w:rsidRPr="00A75F74">
        <w:tab/>
      </w:r>
      <w:r w:rsidRPr="00A75F74">
        <w:t>Pravo na obrazovanje</w:t>
      </w:r>
    </w:p>
    <w:p w:rsidR="003734A9" w:rsidRPr="00A75F74" w:rsidRDefault="00732519" w:rsidP="00732519">
      <w:pPr>
        <w:pStyle w:val="SingleTxtG"/>
      </w:pPr>
      <w:r w:rsidRPr="00A75F74">
        <w:t>99.</w:t>
      </w:r>
      <w:r w:rsidRPr="00A75F74">
        <w:tab/>
      </w:r>
      <w:r w:rsidR="003734A9" w:rsidRPr="00A75F74">
        <w:t xml:space="preserve">Digitalno okruženje može u velikoj meri </w:t>
      </w:r>
      <w:r w:rsidR="006F0281" w:rsidRPr="00A75F74">
        <w:t>omogućiti</w:t>
      </w:r>
      <w:r w:rsidR="003734A9" w:rsidRPr="00A75F74">
        <w:t xml:space="preserve"> i poboljšati pristup dece visokokvalitetnom </w:t>
      </w:r>
      <w:proofErr w:type="spellStart"/>
      <w:r w:rsidR="003734A9" w:rsidRPr="00A75F74">
        <w:t>inkluzivnom</w:t>
      </w:r>
      <w:proofErr w:type="spellEnd"/>
      <w:r w:rsidR="003734A9" w:rsidRPr="00A75F74">
        <w:t xml:space="preserve"> obrazovanju, </w:t>
      </w:r>
      <w:r w:rsidR="006F0281" w:rsidRPr="00A75F74">
        <w:t>uključujući</w:t>
      </w:r>
      <w:r w:rsidR="003734A9" w:rsidRPr="00A75F74">
        <w:t xml:space="preserve"> pouzdane resurse za formalno, neformalno, neformalno, </w:t>
      </w:r>
      <w:proofErr w:type="spellStart"/>
      <w:r w:rsidR="003734A9" w:rsidRPr="00A75F74">
        <w:t>vršnjačko</w:t>
      </w:r>
      <w:proofErr w:type="spellEnd"/>
      <w:r w:rsidR="003734A9" w:rsidRPr="00A75F74">
        <w:t xml:space="preserve"> i samostalno učenje. </w:t>
      </w:r>
      <w:r w:rsidR="006F0281" w:rsidRPr="00A75F74">
        <w:t>Korišćenje</w:t>
      </w:r>
      <w:r w:rsidR="003734A9" w:rsidRPr="00A75F74">
        <w:t xml:space="preserve"> digitalnih tehnologija takođe može ojačati angažman </w:t>
      </w:r>
      <w:r w:rsidR="00DC7825" w:rsidRPr="00A75F74">
        <w:t>između učenika</w:t>
      </w:r>
      <w:r w:rsidR="00DC7825">
        <w:t xml:space="preserve">, kao </w:t>
      </w:r>
      <w:proofErr w:type="spellStart"/>
      <w:r w:rsidR="00DC7825">
        <w:t>i</w:t>
      </w:r>
      <w:r w:rsidR="003734A9" w:rsidRPr="00A75F74">
        <w:t>između</w:t>
      </w:r>
      <w:proofErr w:type="spellEnd"/>
      <w:r w:rsidR="003734A9" w:rsidRPr="00A75F74">
        <w:t xml:space="preserve"> nastavnika i učenik</w:t>
      </w:r>
      <w:r w:rsidR="00DC7825">
        <w:t>a</w:t>
      </w:r>
      <w:r w:rsidR="003734A9" w:rsidRPr="00A75F74">
        <w:t xml:space="preserve">. Deca su istakla značaj digitalnih tehnologija u poboljšanju njihovog pristupa obrazovanju i u podršci njihovom učenju i </w:t>
      </w:r>
      <w:r w:rsidR="00DC7825" w:rsidRPr="00A75F74">
        <w:t>učešću</w:t>
      </w:r>
      <w:r w:rsidR="003734A9" w:rsidRPr="00A75F74">
        <w:t xml:space="preserve"> u vannastavnim aktivnostima.</w:t>
      </w:r>
      <w:r w:rsidR="00DC7825">
        <w:rPr>
          <w:rStyle w:val="FootnoteReference"/>
        </w:rPr>
        <w:footnoteReference w:id="49"/>
      </w:r>
    </w:p>
    <w:p w:rsidR="009448CC" w:rsidRPr="00A75F74" w:rsidRDefault="00732519" w:rsidP="00732519">
      <w:pPr>
        <w:pStyle w:val="SingleTxtG"/>
      </w:pPr>
      <w:r w:rsidRPr="00A75F74">
        <w:t>100.</w:t>
      </w:r>
      <w:r w:rsidRPr="00A75F74">
        <w:tab/>
      </w:r>
      <w:r w:rsidR="009448CC" w:rsidRPr="00A75F74">
        <w:t xml:space="preserve">Države </w:t>
      </w:r>
      <w:proofErr w:type="spellStart"/>
      <w:r w:rsidR="009448CC" w:rsidRPr="00A75F74">
        <w:t>ugovornice</w:t>
      </w:r>
      <w:proofErr w:type="spellEnd"/>
      <w:r w:rsidR="009448CC" w:rsidRPr="00A75F74">
        <w:t xml:space="preserve"> </w:t>
      </w:r>
      <w:r w:rsidR="00844E6C" w:rsidRPr="00A75F74">
        <w:t>trebalo</w:t>
      </w:r>
      <w:r w:rsidR="009448CC" w:rsidRPr="00A75F74">
        <w:t xml:space="preserve"> bi </w:t>
      </w:r>
      <w:r w:rsidR="00844E6C" w:rsidRPr="00A75F74">
        <w:t>da podrže</w:t>
      </w:r>
      <w:r w:rsidR="009448CC" w:rsidRPr="00A75F74">
        <w:t xml:space="preserve"> obrazovne i kulturne institucije, poput arhiva, bibliot</w:t>
      </w:r>
      <w:r w:rsidR="00D6613A" w:rsidRPr="00A75F74">
        <w:t xml:space="preserve">eka i muzeja, u </w:t>
      </w:r>
      <w:r w:rsidR="00DC7825" w:rsidRPr="00A75F74">
        <w:t>omogućavanju</w:t>
      </w:r>
      <w:r w:rsidR="00D6613A" w:rsidRPr="00A75F74">
        <w:t xml:space="preserve"> d</w:t>
      </w:r>
      <w:r w:rsidR="009448CC" w:rsidRPr="00A75F74">
        <w:t xml:space="preserve">eci pristupa različitim digitalnim i interaktivnim resursima za učenje, </w:t>
      </w:r>
      <w:proofErr w:type="spellStart"/>
      <w:r w:rsidR="00DC7825" w:rsidRPr="00A75F74">
        <w:t>uključujući</w:t>
      </w:r>
      <w:r w:rsidR="00DC7825">
        <w:t>autohtone</w:t>
      </w:r>
      <w:proofErr w:type="spellEnd"/>
      <w:r w:rsidR="009448CC" w:rsidRPr="00A75F74">
        <w:t xml:space="preserve"> </w:t>
      </w:r>
      <w:proofErr w:type="spellStart"/>
      <w:r w:rsidR="009448CC" w:rsidRPr="00A75F74">
        <w:t>resurse,</w:t>
      </w:r>
      <w:r w:rsidR="00DC7825">
        <w:t>kao</w:t>
      </w:r>
      <w:proofErr w:type="spellEnd"/>
      <w:r w:rsidR="00DC7825">
        <w:t xml:space="preserve"> </w:t>
      </w:r>
      <w:r w:rsidR="00D6613A" w:rsidRPr="00A75F74">
        <w:t>i resurs</w:t>
      </w:r>
      <w:r w:rsidR="00DC7825">
        <w:t>e</w:t>
      </w:r>
      <w:r w:rsidR="00D6613A" w:rsidRPr="00A75F74">
        <w:t xml:space="preserve"> na jezicima koje d</w:t>
      </w:r>
      <w:r w:rsidR="00F46173" w:rsidRPr="00A75F74">
        <w:t>eca razumej</w:t>
      </w:r>
      <w:r w:rsidR="009448CC" w:rsidRPr="00A75F74">
        <w:t>u. Ti</w:t>
      </w:r>
      <w:r w:rsidR="00DC7825">
        <w:t>, kao</w:t>
      </w:r>
      <w:r w:rsidR="009448CC" w:rsidRPr="00A75F74">
        <w:t xml:space="preserve"> i drugi vredni resursi</w:t>
      </w:r>
      <w:r w:rsidR="00DC7825">
        <w:t>,</w:t>
      </w:r>
      <w:r w:rsidR="009448CC" w:rsidRPr="00A75F74">
        <w:t xml:space="preserve"> mogu da podrže dečju angažovanost u sopstvenim kreativnim, građanskim i kulturnim praksama i </w:t>
      </w:r>
      <w:r w:rsidR="00DC7825" w:rsidRPr="00A75F74">
        <w:t>omoguće</w:t>
      </w:r>
      <w:r w:rsidR="009448CC" w:rsidRPr="00A75F74">
        <w:t xml:space="preserve"> im da uče o drugima.</w:t>
      </w:r>
      <w:r w:rsidR="00DC7825">
        <w:rPr>
          <w:rStyle w:val="FootnoteReference"/>
        </w:rPr>
        <w:footnoteReference w:id="50"/>
      </w:r>
      <w:r w:rsidR="009448CC" w:rsidRPr="00A75F74">
        <w:t xml:space="preserve"> Države </w:t>
      </w:r>
      <w:proofErr w:type="spellStart"/>
      <w:r w:rsidR="00844E6C" w:rsidRPr="00A75F74">
        <w:t>ugovornice</w:t>
      </w:r>
      <w:proofErr w:type="spellEnd"/>
      <w:r w:rsidR="00844E6C" w:rsidRPr="00A75F74">
        <w:t xml:space="preserve"> </w:t>
      </w:r>
      <w:r w:rsidR="009448CC" w:rsidRPr="00A75F74">
        <w:t xml:space="preserve">treba da poboljšaju </w:t>
      </w:r>
      <w:r w:rsidR="00DC7825" w:rsidRPr="00A75F74">
        <w:t>mogućnosti</w:t>
      </w:r>
      <w:r w:rsidR="009448CC" w:rsidRPr="00A75F74">
        <w:t xml:space="preserve"> dece za </w:t>
      </w:r>
      <w:proofErr w:type="spellStart"/>
      <w:r w:rsidR="009448CC" w:rsidRPr="00A75F74">
        <w:t>onlajn</w:t>
      </w:r>
      <w:proofErr w:type="spellEnd"/>
      <w:r w:rsidR="009448CC" w:rsidRPr="00A75F74">
        <w:t xml:space="preserve"> i </w:t>
      </w:r>
      <w:proofErr w:type="spellStart"/>
      <w:r w:rsidR="009448CC" w:rsidRPr="00A75F74">
        <w:t>celoživotno</w:t>
      </w:r>
      <w:proofErr w:type="spellEnd"/>
      <w:r w:rsidR="009448CC" w:rsidRPr="00A75F74">
        <w:t xml:space="preserve"> učenje.</w:t>
      </w:r>
    </w:p>
    <w:p w:rsidR="00732519" w:rsidRPr="00A75F74" w:rsidRDefault="00732519" w:rsidP="00732519">
      <w:pPr>
        <w:pStyle w:val="SingleTxtG"/>
      </w:pPr>
      <w:r w:rsidRPr="00A75F74">
        <w:t>101.</w:t>
      </w:r>
      <w:r w:rsidRPr="00A75F74">
        <w:tab/>
      </w:r>
      <w:r w:rsidR="00F46173" w:rsidRPr="00A75F74">
        <w:t xml:space="preserve">Države </w:t>
      </w:r>
      <w:proofErr w:type="spellStart"/>
      <w:r w:rsidR="004F6D74" w:rsidRPr="00A75F74">
        <w:t>ugovornice</w:t>
      </w:r>
      <w:proofErr w:type="spellEnd"/>
      <w:r w:rsidR="004F6D74" w:rsidRPr="00A75F74">
        <w:t xml:space="preserve"> </w:t>
      </w:r>
      <w:r w:rsidR="00F46173" w:rsidRPr="00A75F74">
        <w:t xml:space="preserve">treba da ulože ravnopravno u tehnološku infrastrukturu u školama i u druge nastavne okvire, </w:t>
      </w:r>
      <w:r w:rsidR="00DC7825" w:rsidRPr="00A75F74">
        <w:t>osiguravajući</w:t>
      </w:r>
      <w:r w:rsidR="00F46173" w:rsidRPr="00A75F74">
        <w:t xml:space="preserve"> dostupnost i pristupačnost dovoljnog broja računara, visokokvalitetne i brze širokopojasne mreže i stabilan izvor električne energije, obuku nastavnika </w:t>
      </w:r>
      <w:proofErr w:type="spellStart"/>
      <w:r w:rsidR="00DC7825">
        <w:t>za</w:t>
      </w:r>
      <w:r w:rsidR="00DC7825" w:rsidRPr="00A75F74">
        <w:t>korišćenj</w:t>
      </w:r>
      <w:r w:rsidR="00DC7825">
        <w:t>e</w:t>
      </w:r>
      <w:proofErr w:type="spellEnd"/>
      <w:r w:rsidR="00F46173" w:rsidRPr="00A75F74">
        <w:t xml:space="preserve"> digitalnih obrazovnih tehnologij</w:t>
      </w:r>
      <w:r w:rsidR="00DC7825">
        <w:t>a</w:t>
      </w:r>
      <w:r w:rsidR="00F46173" w:rsidRPr="00A75F74">
        <w:t xml:space="preserve">, pristupačnost i pravovremeno održavanje školskih tehnologija. Takođe bi trebalo da podrže stvaranje i širenje različitih digitalnih obrazovnih resursa dobrog kvaliteta na jezicima koje deca razumeju i obezbede da </w:t>
      </w:r>
      <w:r w:rsidR="00DC7825" w:rsidRPr="00A75F74">
        <w:t>postojeće</w:t>
      </w:r>
      <w:r w:rsidR="00F46173" w:rsidRPr="00A75F74">
        <w:t xml:space="preserve"> nejednakosti ne budu pogoršane, poput onih koje </w:t>
      </w:r>
      <w:r w:rsidR="00DC7825">
        <w:t>doživljavaju</w:t>
      </w:r>
      <w:r w:rsidR="00F46173" w:rsidRPr="00A75F74">
        <w:t xml:space="preserve"> devojčice. Države </w:t>
      </w:r>
      <w:proofErr w:type="spellStart"/>
      <w:r w:rsidR="00137473" w:rsidRPr="00A75F74">
        <w:t>ugovornice</w:t>
      </w:r>
      <w:proofErr w:type="spellEnd"/>
      <w:r w:rsidR="00137473" w:rsidRPr="00A75F74">
        <w:t xml:space="preserve"> </w:t>
      </w:r>
      <w:r w:rsidR="00F46173" w:rsidRPr="00A75F74">
        <w:t xml:space="preserve">treba da osiguraju da upotreba digitalnih tehnologija ne podriva </w:t>
      </w:r>
      <w:r w:rsidR="003C4C4D">
        <w:t>neposredno</w:t>
      </w:r>
      <w:r w:rsidR="00F46173" w:rsidRPr="00A75F74">
        <w:t xml:space="preserve"> obrazovanje i da je opravdana u obrazovne svrhe.</w:t>
      </w:r>
    </w:p>
    <w:p w:rsidR="00D2799E" w:rsidRPr="00A75F74" w:rsidRDefault="00732519" w:rsidP="00732519">
      <w:pPr>
        <w:pStyle w:val="SingleTxtG"/>
      </w:pPr>
      <w:r w:rsidRPr="00A75F74">
        <w:t>102.</w:t>
      </w:r>
      <w:r w:rsidRPr="00A75F74">
        <w:tab/>
      </w:r>
      <w:r w:rsidR="00D2799E" w:rsidRPr="00A75F74">
        <w:t xml:space="preserve">Za decu koja nisu fizički prisutna u školi ili za ona koja žive u udaljenim oblastima ili u nepovoljnim ili ranjivim situacijama, digitalne obrazovne tehnologije mogu </w:t>
      </w:r>
      <w:r w:rsidR="00DC7825" w:rsidRPr="00A75F74">
        <w:t>omogućiti</w:t>
      </w:r>
      <w:r w:rsidR="00D2799E" w:rsidRPr="00A75F74">
        <w:t xml:space="preserve"> učenje na daljinu ili mobilno</w:t>
      </w:r>
      <w:r w:rsidR="00DC7825">
        <w:t xml:space="preserve"> učenje</w:t>
      </w:r>
      <w:r w:rsidR="00D2799E" w:rsidRPr="00A75F74">
        <w:t>.</w:t>
      </w:r>
      <w:r w:rsidR="00DC7825">
        <w:rPr>
          <w:rStyle w:val="FootnoteReference"/>
        </w:rPr>
        <w:footnoteReference w:id="51"/>
      </w:r>
      <w:r w:rsidR="00D2799E" w:rsidRPr="00A75F74">
        <w:t xml:space="preserve"> Države </w:t>
      </w:r>
      <w:proofErr w:type="spellStart"/>
      <w:r w:rsidR="00D2799E" w:rsidRPr="00A75F74">
        <w:t>ugovornice</w:t>
      </w:r>
      <w:proofErr w:type="spellEnd"/>
      <w:r w:rsidR="00D2799E" w:rsidRPr="00A75F74">
        <w:t xml:space="preserve"> treba da osiguraju postojanje </w:t>
      </w:r>
      <w:r w:rsidR="00FF70B9" w:rsidRPr="00A75F74">
        <w:t>odgovarajuće</w:t>
      </w:r>
      <w:r w:rsidR="00D2799E" w:rsidRPr="00A75F74">
        <w:t xml:space="preserve"> infrastrukture koja </w:t>
      </w:r>
      <w:r w:rsidR="00FF70B9" w:rsidRPr="00A75F74">
        <w:t>omogućava</w:t>
      </w:r>
      <w:r w:rsidR="00D2799E" w:rsidRPr="00A75F74">
        <w:t xml:space="preserve"> svoj deci</w:t>
      </w:r>
      <w:r w:rsidR="003C4C4D">
        <w:t xml:space="preserve"> pristup </w:t>
      </w:r>
      <w:r w:rsidR="00D2799E" w:rsidRPr="00A75F74">
        <w:t xml:space="preserve"> osnovnim uslužnim programima neophodnim za učenje na daljinu, </w:t>
      </w:r>
      <w:r w:rsidR="003C4C4D" w:rsidRPr="00A75F74">
        <w:t>uključujući</w:t>
      </w:r>
      <w:r w:rsidR="00D2799E" w:rsidRPr="00A75F74">
        <w:t xml:space="preserve"> pristup uređajima, električnoj energiji, povezivanju, obrazovnim materijalima i profesionalnoj podršci. Takođe bi trebalo da obezbede da škole imaju dovoljno resursa da roditeljima i </w:t>
      </w:r>
      <w:r w:rsidR="00864FFA">
        <w:t>staraocima</w:t>
      </w:r>
      <w:r w:rsidR="00D2799E" w:rsidRPr="00A75F74">
        <w:t xml:space="preserve"> pruže smernice o učenju na daljinu kod </w:t>
      </w:r>
      <w:r w:rsidR="003C4C4D" w:rsidRPr="00A75F74">
        <w:t>kuće</w:t>
      </w:r>
      <w:r w:rsidR="003C4C4D">
        <w:t>, kao</w:t>
      </w:r>
      <w:r w:rsidR="00D2799E" w:rsidRPr="00A75F74">
        <w:t xml:space="preserve"> i da proizvodi i usluge digitalnog </w:t>
      </w:r>
      <w:r w:rsidR="00D2799E" w:rsidRPr="00A75F74">
        <w:lastRenderedPageBreak/>
        <w:t>obrazovanja ne stvaraju ili pogoršavaju nejednakosti u pristupu dece obrazovnim uslugama.</w:t>
      </w:r>
    </w:p>
    <w:p w:rsidR="00016BC1" w:rsidRPr="00A75F74" w:rsidRDefault="00732519" w:rsidP="00732519">
      <w:pPr>
        <w:pStyle w:val="SingleTxtG"/>
      </w:pPr>
      <w:r w:rsidRPr="00A75F74">
        <w:t>103.</w:t>
      </w:r>
      <w:r w:rsidRPr="00A75F74">
        <w:tab/>
      </w:r>
      <w:r w:rsidR="00016BC1" w:rsidRPr="00A75F74">
        <w:t xml:space="preserve">Države </w:t>
      </w:r>
      <w:proofErr w:type="spellStart"/>
      <w:r w:rsidR="00016BC1" w:rsidRPr="00A75F74">
        <w:t>ugovornice</w:t>
      </w:r>
      <w:proofErr w:type="spellEnd"/>
      <w:r w:rsidR="00016BC1" w:rsidRPr="00A75F74">
        <w:t xml:space="preserve"> trebalo bi da razviju politike, standarde i smernice</w:t>
      </w:r>
      <w:r w:rsidR="003C4C4D">
        <w:t>,</w:t>
      </w:r>
      <w:r w:rsidR="00016BC1" w:rsidRPr="00A75F74">
        <w:t xml:space="preserve"> zasnovane na </w:t>
      </w:r>
      <w:r w:rsidR="003C4C4D">
        <w:t>raspoloživoj evidenciji,</w:t>
      </w:r>
      <w:r w:rsidR="00016BC1" w:rsidRPr="00A75F74">
        <w:t xml:space="preserve"> za škole i druga relevantna tela odgovorna za nabavku i upotrebu obrazovnih tehnologija i materijala</w:t>
      </w:r>
      <w:r w:rsidR="003C4C4D">
        <w:t>,</w:t>
      </w:r>
      <w:r w:rsidR="00016BC1" w:rsidRPr="00A75F74">
        <w:t xml:space="preserve"> kako bi poboljšale </w:t>
      </w:r>
      <w:proofErr w:type="spellStart"/>
      <w:r w:rsidR="003C4C4D">
        <w:t>obezbeđivanjedragocene</w:t>
      </w:r>
      <w:proofErr w:type="spellEnd"/>
      <w:r w:rsidR="00016BC1" w:rsidRPr="00A75F74">
        <w:t xml:space="preserve"> obrazovn</w:t>
      </w:r>
      <w:r w:rsidR="003C4C4D">
        <w:t xml:space="preserve">e </w:t>
      </w:r>
      <w:r w:rsidR="00016BC1" w:rsidRPr="00A75F74">
        <w:t xml:space="preserve">koristi. Standardi za digitalne obrazovne tehnologije treba da osiguraju da je upotreba tih tehnologija etična i primerena u obrazovne svrhe i da ne izlaže decu nasilju, diskriminaciji, zloupotrebi njihovih ličnih podataka, komercijalnom </w:t>
      </w:r>
      <w:r w:rsidR="003C4C4D" w:rsidRPr="00A75F74">
        <w:t>iskorišćavanju</w:t>
      </w:r>
      <w:r w:rsidR="00016BC1" w:rsidRPr="00A75F74">
        <w:t xml:space="preserve"> ili drugim kršenjima njihovih prava, kao što je upotreba digitalne tehnologije za dokumentovanje dečje aktivnosti i deljenje sa roditeljima ili </w:t>
      </w:r>
      <w:r w:rsidR="00864FFA">
        <w:t>staraocima</w:t>
      </w:r>
      <w:r w:rsidR="00016BC1" w:rsidRPr="00A75F74">
        <w:t xml:space="preserve"> bez detetovog znanja ili pristanka.</w:t>
      </w:r>
    </w:p>
    <w:p w:rsidR="00732519" w:rsidRPr="00A75F74" w:rsidRDefault="00732519" w:rsidP="00732519">
      <w:pPr>
        <w:pStyle w:val="SingleTxtG"/>
      </w:pPr>
      <w:r w:rsidRPr="00A75F74">
        <w:t>104.</w:t>
      </w:r>
      <w:r w:rsidRPr="00A75F74">
        <w:tab/>
      </w:r>
      <w:r w:rsidR="00597E7F" w:rsidRPr="00A75F74">
        <w:t xml:space="preserve">Države </w:t>
      </w:r>
      <w:proofErr w:type="spellStart"/>
      <w:r w:rsidR="006A3CEE" w:rsidRPr="00A75F74">
        <w:t>ugovornice</w:t>
      </w:r>
      <w:proofErr w:type="spellEnd"/>
      <w:r w:rsidR="006A3CEE" w:rsidRPr="00A75F74">
        <w:t xml:space="preserve"> </w:t>
      </w:r>
      <w:r w:rsidR="00597E7F" w:rsidRPr="00A75F74">
        <w:t>treba da osiguraju da se digitalna pismenost predaje u školama, kao deo programa osnovnog obrazovanja, od predškolskog nivoa i tokom svih godina</w:t>
      </w:r>
      <w:r w:rsidR="003C4C4D">
        <w:t xml:space="preserve"> školovanja</w:t>
      </w:r>
      <w:r w:rsidR="00597E7F" w:rsidRPr="00A75F74">
        <w:t>, i da se t</w:t>
      </w:r>
      <w:r w:rsidR="003C4C4D">
        <w:t>e</w:t>
      </w:r>
      <w:r w:rsidR="00597E7F" w:rsidRPr="00A75F74">
        <w:t xml:space="preserve"> pedagogij</w:t>
      </w:r>
      <w:r w:rsidR="003C4C4D">
        <w:t>e</w:t>
      </w:r>
      <w:r w:rsidR="00597E7F" w:rsidRPr="00A75F74">
        <w:t xml:space="preserve"> procenjuj</w:t>
      </w:r>
      <w:r w:rsidR="003C4C4D">
        <w:t>u</w:t>
      </w:r>
      <w:r w:rsidR="00597E7F" w:rsidRPr="00A75F74">
        <w:t xml:space="preserve"> na osnovu </w:t>
      </w:r>
      <w:r w:rsidR="003C4C4D">
        <w:t>njihovih</w:t>
      </w:r>
      <w:r w:rsidR="00597E7F" w:rsidRPr="00A75F74">
        <w:t xml:space="preserve"> rezultata.</w:t>
      </w:r>
      <w:r w:rsidR="003C4C4D">
        <w:rPr>
          <w:rStyle w:val="FootnoteReference"/>
        </w:rPr>
        <w:footnoteReference w:id="52"/>
      </w:r>
      <w:r w:rsidR="003C4C4D" w:rsidRPr="00A75F74">
        <w:t xml:space="preserve">Nastavni programi </w:t>
      </w:r>
      <w:r w:rsidR="00597E7F" w:rsidRPr="00A75F74">
        <w:t xml:space="preserve">treba da </w:t>
      </w:r>
      <w:r w:rsidR="003C4C4D">
        <w:t>obuhvate</w:t>
      </w:r>
      <w:r w:rsidR="00597E7F" w:rsidRPr="00A75F74">
        <w:t xml:space="preserve"> znanje i veštine za sigurno rukovanje širokim </w:t>
      </w:r>
      <w:proofErr w:type="spellStart"/>
      <w:r w:rsidR="00597E7F" w:rsidRPr="00A75F74">
        <w:t>spektrom</w:t>
      </w:r>
      <w:proofErr w:type="spellEnd"/>
      <w:r w:rsidR="00597E7F" w:rsidRPr="00A75F74">
        <w:t xml:space="preserve"> digitalnih alata i resursa, </w:t>
      </w:r>
      <w:r w:rsidR="003C4C4D" w:rsidRPr="00A75F74">
        <w:t>uključujući</w:t>
      </w:r>
      <w:r w:rsidR="00597E7F" w:rsidRPr="00A75F74">
        <w:t xml:space="preserve"> one koji se odnose na sadržaj, stvaranje, saradnju, </w:t>
      </w:r>
      <w:r w:rsidR="003C4C4D" w:rsidRPr="00A75F74">
        <w:t>učešće</w:t>
      </w:r>
      <w:r w:rsidR="00597E7F" w:rsidRPr="00A75F74">
        <w:t xml:space="preserve">, socijalizaciju i građanski angažman. Nastavni programi takođe treba da uključuju kritičko razumevanje, smernice o tome kako </w:t>
      </w:r>
      <w:r w:rsidR="009F28B4" w:rsidRPr="00A75F74">
        <w:t>pronaći</w:t>
      </w:r>
      <w:r w:rsidR="00597E7F" w:rsidRPr="00A75F74">
        <w:t xml:space="preserve"> pouzdane izvore informacija i identifikovati dezinformacije i druge oblike pristrasnog ili lažnog sadržaja, </w:t>
      </w:r>
      <w:r w:rsidR="009F28B4" w:rsidRPr="00A75F74">
        <w:t>uključujući</w:t>
      </w:r>
      <w:r w:rsidR="00597E7F" w:rsidRPr="00A75F74">
        <w:t xml:space="preserve"> pitanja seksualnog i reproduktivnog zdravlja, ljudska prava, </w:t>
      </w:r>
      <w:r w:rsidR="009F28B4">
        <w:t xml:space="preserve">kao i </w:t>
      </w:r>
      <w:r w:rsidR="00597E7F" w:rsidRPr="00A75F74">
        <w:t>prava deteta u digitalnom okruženju i dostupn</w:t>
      </w:r>
      <w:r w:rsidR="009F28B4">
        <w:t>e</w:t>
      </w:r>
      <w:r w:rsidR="00597E7F" w:rsidRPr="00A75F74">
        <w:t xml:space="preserve"> obli</w:t>
      </w:r>
      <w:r w:rsidR="009F28B4">
        <w:t>ke</w:t>
      </w:r>
      <w:r w:rsidR="00597E7F" w:rsidRPr="00A75F74">
        <w:t xml:space="preserve"> podrške i </w:t>
      </w:r>
      <w:r w:rsidR="009F28B4">
        <w:t>korektivnih mera</w:t>
      </w:r>
      <w:r w:rsidR="00597E7F" w:rsidRPr="00A75F74">
        <w:t xml:space="preserve">. </w:t>
      </w:r>
      <w:r w:rsidR="009F28B4" w:rsidRPr="00A75F74">
        <w:t xml:space="preserve">Države </w:t>
      </w:r>
      <w:proofErr w:type="spellStart"/>
      <w:r w:rsidR="009F28B4" w:rsidRPr="00A75F74">
        <w:t>ugovornice</w:t>
      </w:r>
      <w:proofErr w:type="spellEnd"/>
      <w:r w:rsidR="009F28B4" w:rsidRPr="00A75F74">
        <w:t xml:space="preserve"> </w:t>
      </w:r>
      <w:r w:rsidR="00597E7F" w:rsidRPr="00A75F74">
        <w:t xml:space="preserve">treba da promovišu svest kod dece o </w:t>
      </w:r>
      <w:r w:rsidR="009F28B4" w:rsidRPr="00A75F74">
        <w:t>mogućim</w:t>
      </w:r>
      <w:r w:rsidR="00597E7F" w:rsidRPr="00A75F74">
        <w:t xml:space="preserve"> negativnim posledicama izloženosti rizicima koji se odnose na sadržaj, kontakt, ponašanje i ugovaranje, </w:t>
      </w:r>
      <w:proofErr w:type="spellStart"/>
      <w:r w:rsidR="009F28B4" w:rsidRPr="00A75F74">
        <w:t>uključujući</w:t>
      </w:r>
      <w:r w:rsidR="009F28B4">
        <w:t>sajber</w:t>
      </w:r>
      <w:proofErr w:type="spellEnd"/>
      <w:r w:rsidR="009F28B4">
        <w:t>-agresiju,</w:t>
      </w:r>
      <w:r w:rsidR="00597E7F" w:rsidRPr="00A75F74">
        <w:t xml:space="preserve"> trgovinu</w:t>
      </w:r>
      <w:r w:rsidR="009F28B4">
        <w:t xml:space="preserve"> ljudima</w:t>
      </w:r>
      <w:r w:rsidR="00597E7F" w:rsidRPr="00A75F74">
        <w:t xml:space="preserve">, seksualno </w:t>
      </w:r>
      <w:r w:rsidR="009F28B4" w:rsidRPr="00A75F74">
        <w:t>iskorišćavanje</w:t>
      </w:r>
      <w:r w:rsidR="00597E7F" w:rsidRPr="00A75F74">
        <w:t xml:space="preserve"> i </w:t>
      </w:r>
      <w:r w:rsidR="009F28B4">
        <w:t>zloupotrebu</w:t>
      </w:r>
      <w:r w:rsidR="00597E7F" w:rsidRPr="00A75F74">
        <w:t xml:space="preserve"> i druge oblike nasilja, kao i strategije </w:t>
      </w:r>
      <w:r w:rsidR="009F28B4">
        <w:t>za</w:t>
      </w:r>
      <w:r w:rsidR="00597E7F" w:rsidRPr="00A75F74">
        <w:t xml:space="preserve"> smanjenj</w:t>
      </w:r>
      <w:r w:rsidR="009F28B4">
        <w:t>e</w:t>
      </w:r>
      <w:r w:rsidR="00597E7F" w:rsidRPr="00A75F74">
        <w:t xml:space="preserve"> štete i strategije </w:t>
      </w:r>
      <w:r w:rsidR="009F28B4">
        <w:t>z</w:t>
      </w:r>
      <w:r w:rsidR="00597E7F" w:rsidRPr="00A75F74">
        <w:t>a zaštit</w:t>
      </w:r>
      <w:r w:rsidR="009F28B4">
        <w:t>u</w:t>
      </w:r>
      <w:r w:rsidR="00597E7F" w:rsidRPr="00A75F74">
        <w:t xml:space="preserve"> ličn</w:t>
      </w:r>
      <w:r w:rsidR="009F28B4">
        <w:t>ih</w:t>
      </w:r>
      <w:r w:rsidR="00597E7F" w:rsidRPr="00A75F74">
        <w:t xml:space="preserve"> podat</w:t>
      </w:r>
      <w:r w:rsidR="009F28B4">
        <w:t>a</w:t>
      </w:r>
      <w:r w:rsidR="00597E7F" w:rsidRPr="00A75F74">
        <w:t>k</w:t>
      </w:r>
      <w:r w:rsidR="009F28B4">
        <w:t>a</w:t>
      </w:r>
      <w:r w:rsidR="00597E7F" w:rsidRPr="00A75F74">
        <w:t xml:space="preserve"> i podat</w:t>
      </w:r>
      <w:r w:rsidR="009F28B4">
        <w:t>a</w:t>
      </w:r>
      <w:r w:rsidR="00597E7F" w:rsidRPr="00A75F74">
        <w:t>k</w:t>
      </w:r>
      <w:r w:rsidR="009F28B4">
        <w:t>a</w:t>
      </w:r>
      <w:r w:rsidR="00597E7F" w:rsidRPr="00A75F74">
        <w:t xml:space="preserve"> drugih i da </w:t>
      </w:r>
      <w:r w:rsidR="009F28B4">
        <w:t>razvijaju</w:t>
      </w:r>
      <w:r w:rsidR="00597E7F" w:rsidRPr="00A75F74">
        <w:t xml:space="preserve"> socijalne i emocionalne veštine i </w:t>
      </w:r>
      <w:r w:rsidR="009F28B4">
        <w:t xml:space="preserve">prilagodljivost </w:t>
      </w:r>
      <w:r w:rsidR="009F28B4" w:rsidRPr="00A75F74">
        <w:t>de</w:t>
      </w:r>
      <w:r w:rsidR="009F28B4">
        <w:t>c</w:t>
      </w:r>
      <w:r w:rsidR="009F28B4" w:rsidRPr="00A75F74">
        <w:t>e</w:t>
      </w:r>
      <w:r w:rsidR="009F28B4">
        <w:t>.</w:t>
      </w:r>
    </w:p>
    <w:p w:rsidR="00732519" w:rsidRPr="00A75F74" w:rsidRDefault="00732519" w:rsidP="00732519">
      <w:pPr>
        <w:pStyle w:val="SingleTxtG"/>
      </w:pPr>
      <w:r w:rsidRPr="00A75F74">
        <w:t>105.</w:t>
      </w:r>
      <w:r w:rsidRPr="00A75F74">
        <w:tab/>
      </w:r>
      <w:r w:rsidR="009217EA" w:rsidRPr="00A75F74">
        <w:t xml:space="preserve">Sve je </w:t>
      </w:r>
      <w:r w:rsidR="009F28B4">
        <w:t>značajnije</w:t>
      </w:r>
      <w:r w:rsidR="009217EA" w:rsidRPr="00A75F74">
        <w:t xml:space="preserve"> da deca steknu razumevanje digitalnog okruženja, </w:t>
      </w:r>
      <w:r w:rsidR="009F28B4" w:rsidRPr="00A75F74">
        <w:t>uključujući</w:t>
      </w:r>
      <w:r w:rsidR="009217EA" w:rsidRPr="00A75F74">
        <w:t xml:space="preserve"> njegovu infrastrukturu, poslovne prakse, </w:t>
      </w:r>
      <w:r w:rsidR="009F28B4">
        <w:t>pouzdane</w:t>
      </w:r>
      <w:r w:rsidR="009217EA" w:rsidRPr="00A75F74">
        <w:t xml:space="preserve"> strategije i upotrebu automatizovane obrade i ličnih podataka i nadzora, kao i </w:t>
      </w:r>
      <w:r w:rsidR="002423A3" w:rsidRPr="00A75F74">
        <w:t>moguće</w:t>
      </w:r>
      <w:r w:rsidR="009217EA" w:rsidRPr="00A75F74">
        <w:t xml:space="preserve"> negativne efekte digitalizacije na društva. Nastavnici, posebno oni koji se bave obrazovanjem o digitalnoj pismenosti i obrazovanjem o seksualnom i reproduktivnom zdravlju, treba da budu obučeni o zaštitnim merama koje se odnose na digitalno okruženje.</w:t>
      </w:r>
    </w:p>
    <w:p w:rsidR="005305D5" w:rsidRPr="00A75F74" w:rsidRDefault="005305D5" w:rsidP="005305D5">
      <w:pPr>
        <w:pStyle w:val="H1G"/>
      </w:pPr>
      <w:bookmarkStart w:id="13" w:name="_Toc42700967"/>
      <w:bookmarkStart w:id="14" w:name="_Toc47967820"/>
      <w:r w:rsidRPr="00A75F74">
        <w:tab/>
        <w:t>B.</w:t>
      </w:r>
      <w:r w:rsidRPr="00A75F74">
        <w:tab/>
      </w:r>
      <w:bookmarkEnd w:id="13"/>
      <w:bookmarkEnd w:id="14"/>
      <w:r w:rsidRPr="00A75F74">
        <w:t>Pravo na kulturu, razonodu i igru</w:t>
      </w:r>
    </w:p>
    <w:p w:rsidR="00F60267" w:rsidRPr="00A75F74" w:rsidRDefault="005305D5" w:rsidP="005305D5">
      <w:pPr>
        <w:pStyle w:val="SingleTxtG"/>
      </w:pPr>
      <w:r w:rsidRPr="00A75F74">
        <w:t>106.</w:t>
      </w:r>
      <w:r w:rsidRPr="00A75F74">
        <w:tab/>
      </w:r>
      <w:r w:rsidR="00F60267" w:rsidRPr="00A75F74">
        <w:t>Digitalno okruženje promoviše pravo dece na kulturu, razonodu i igru, što je neophodno za njihovo blagostanje i razvoj.</w:t>
      </w:r>
      <w:r w:rsidR="002423A3">
        <w:rPr>
          <w:rStyle w:val="FootnoteReference"/>
        </w:rPr>
        <w:footnoteReference w:id="53"/>
      </w:r>
      <w:r w:rsidR="00F60267" w:rsidRPr="00A75F74">
        <w:t xml:space="preserve"> Deca svih starosnih grupa </w:t>
      </w:r>
      <w:r w:rsidR="002423A3">
        <w:t>izjavila</w:t>
      </w:r>
      <w:r w:rsidR="00F60267" w:rsidRPr="00A75F74">
        <w:t xml:space="preserve"> su da su doživela zadovoljstvo, interesovanje i opuštanje </w:t>
      </w:r>
      <w:r w:rsidR="002423A3" w:rsidRPr="00A75F74">
        <w:t>baveći</w:t>
      </w:r>
      <w:r w:rsidR="00F60267" w:rsidRPr="00A75F74">
        <w:t xml:space="preserve"> se širokim </w:t>
      </w:r>
      <w:proofErr w:type="spellStart"/>
      <w:r w:rsidR="00F60267" w:rsidRPr="00A75F74">
        <w:t>spektrom</w:t>
      </w:r>
      <w:proofErr w:type="spellEnd"/>
      <w:r w:rsidR="00F60267" w:rsidRPr="00A75F74">
        <w:t xml:space="preserve"> digitalnih proizvoda i usluga po svom izboru,</w:t>
      </w:r>
      <w:r w:rsidR="004708AE">
        <w:rPr>
          <w:rStyle w:val="FootnoteReference"/>
        </w:rPr>
        <w:footnoteReference w:id="54"/>
      </w:r>
      <w:r w:rsidR="00F60267" w:rsidRPr="00A75F74">
        <w:t xml:space="preserve"> ali da su zabrinuta što odrasli možda ne razumeju važnost digitalne igre i kako se </w:t>
      </w:r>
      <w:r w:rsidR="002423A3">
        <w:t>ona</w:t>
      </w:r>
      <w:r w:rsidR="00F60267" w:rsidRPr="00A75F74">
        <w:t xml:space="preserve"> može deliti </w:t>
      </w:r>
      <w:r w:rsidR="002423A3">
        <w:t xml:space="preserve">sa </w:t>
      </w:r>
      <w:r w:rsidR="00F60267" w:rsidRPr="00A75F74">
        <w:t>prijatelji</w:t>
      </w:r>
      <w:r w:rsidR="002423A3">
        <w:t>ma</w:t>
      </w:r>
      <w:r w:rsidR="00F60267" w:rsidRPr="00A75F74">
        <w:t>.</w:t>
      </w:r>
      <w:r w:rsidR="002423A3">
        <w:rPr>
          <w:rStyle w:val="FootnoteReference"/>
        </w:rPr>
        <w:footnoteReference w:id="55"/>
      </w:r>
    </w:p>
    <w:p w:rsidR="005305D5" w:rsidRPr="00A75F74" w:rsidRDefault="005305D5" w:rsidP="005305D5">
      <w:pPr>
        <w:pStyle w:val="SingleTxtG"/>
      </w:pPr>
      <w:r w:rsidRPr="00A75F74">
        <w:t>107.</w:t>
      </w:r>
      <w:r w:rsidRPr="00A75F74">
        <w:tab/>
      </w:r>
      <w:r w:rsidR="00F60267" w:rsidRPr="00A75F74">
        <w:t xml:space="preserve">Digitalni oblici kulture, rekreacije i igre treba da podržavaju i koriste deci i odražavaju i promovišu različite identitete dece, posebno njihove kulturne identitete, jezike i nasleđe. Oni mogu olakšati deci socijalne veštine, učenje, izražavanje, kreativne aktivnosti, poput muzike i umetnosti, </w:t>
      </w:r>
      <w:r w:rsidR="002423A3">
        <w:t xml:space="preserve">kao </w:t>
      </w:r>
      <w:r w:rsidR="00F60267" w:rsidRPr="00A75F74">
        <w:t xml:space="preserve">i </w:t>
      </w:r>
      <w:r w:rsidR="002423A3" w:rsidRPr="00A75F74">
        <w:t>osećaj</w:t>
      </w:r>
      <w:r w:rsidR="00F60267" w:rsidRPr="00A75F74">
        <w:t xml:space="preserve"> pripadnosti i zajedničk</w:t>
      </w:r>
      <w:r w:rsidR="002423A3">
        <w:t>e</w:t>
      </w:r>
      <w:r w:rsidR="00F60267" w:rsidRPr="00A75F74">
        <w:t xml:space="preserve"> kultur</w:t>
      </w:r>
      <w:r w:rsidR="002423A3">
        <w:t>e</w:t>
      </w:r>
      <w:r w:rsidR="00F60267" w:rsidRPr="00A75F74">
        <w:t>.</w:t>
      </w:r>
      <w:r w:rsidR="002423A3">
        <w:rPr>
          <w:rStyle w:val="FootnoteReference"/>
        </w:rPr>
        <w:footnoteReference w:id="56"/>
      </w:r>
      <w:r w:rsidR="002423A3" w:rsidRPr="00A75F74">
        <w:t>Učešće</w:t>
      </w:r>
      <w:r w:rsidR="00F60267" w:rsidRPr="00A75F74">
        <w:t xml:space="preserve"> u kulturnom životu </w:t>
      </w:r>
      <w:r w:rsidR="002423A3">
        <w:t xml:space="preserve">na  mreži </w:t>
      </w:r>
      <w:r w:rsidR="00F60267" w:rsidRPr="00A75F74">
        <w:t xml:space="preserve">doprinosi kreativnosti, identitetu, </w:t>
      </w:r>
      <w:r w:rsidR="00F60267" w:rsidRPr="00A75F74">
        <w:lastRenderedPageBreak/>
        <w:t xml:space="preserve">socijalnoj povezanosti i kulturnoj raznolikosti. Države </w:t>
      </w:r>
      <w:proofErr w:type="spellStart"/>
      <w:r w:rsidR="009B6CB3" w:rsidRPr="00A75F74">
        <w:t>ugovornice</w:t>
      </w:r>
      <w:proofErr w:type="spellEnd"/>
      <w:r w:rsidR="009B6CB3" w:rsidRPr="00A75F74">
        <w:t xml:space="preserve"> </w:t>
      </w:r>
      <w:r w:rsidR="00F60267" w:rsidRPr="00A75F74">
        <w:t>treba da obezbede da deca imaju priliku da slobodno vreme koriste za eksperimentisanje sa informacionim i komunikacionim tehnologijama, izražavanje i učestvovanje u kulturnom životu na mreži.</w:t>
      </w:r>
    </w:p>
    <w:p w:rsidR="009B6CB3" w:rsidRPr="00A75F74" w:rsidRDefault="005305D5" w:rsidP="005305D5">
      <w:pPr>
        <w:pStyle w:val="SingleTxtG"/>
      </w:pPr>
      <w:r w:rsidRPr="00A75F74">
        <w:t>108.</w:t>
      </w:r>
      <w:r w:rsidRPr="00A75F74">
        <w:tab/>
      </w:r>
      <w:r w:rsidR="009B6CB3" w:rsidRPr="00A75F74">
        <w:t xml:space="preserve">Države </w:t>
      </w:r>
      <w:proofErr w:type="spellStart"/>
      <w:r w:rsidR="007A27F0" w:rsidRPr="00A75F74">
        <w:t>ugovornice</w:t>
      </w:r>
      <w:proofErr w:type="spellEnd"/>
      <w:r w:rsidR="007A27F0" w:rsidRPr="00A75F74">
        <w:t xml:space="preserve"> </w:t>
      </w:r>
      <w:r w:rsidR="009B6CB3" w:rsidRPr="00A75F74">
        <w:t xml:space="preserve">treba da regulišu i daju smernice za profesionalce, roditelje i </w:t>
      </w:r>
      <w:r w:rsidR="00F16666">
        <w:t>staraoce</w:t>
      </w:r>
      <w:r w:rsidR="009B6CB3" w:rsidRPr="00A75F74">
        <w:t xml:space="preserve"> i da sarađuju, prema potrebi, sa dobavljačima digitalnih usluga kako bi se osiguralo da se digitalne tehnologije i usluge namenjene deci, koj</w:t>
      </w:r>
      <w:r w:rsidR="002423A3">
        <w:t>ima</w:t>
      </w:r>
      <w:r w:rsidR="009B6CB3" w:rsidRPr="00A75F74">
        <w:t xml:space="preserve"> on</w:t>
      </w:r>
      <w:r w:rsidR="002423A3">
        <w:t>a</w:t>
      </w:r>
      <w:r w:rsidR="009B6CB3" w:rsidRPr="00A75F74">
        <w:t xml:space="preserve"> pristupaju ili </w:t>
      </w:r>
      <w:r w:rsidR="002423A3">
        <w:t xml:space="preserve">koja na njih </w:t>
      </w:r>
      <w:r w:rsidR="009B6CB3" w:rsidRPr="00A75F74">
        <w:t xml:space="preserve">imaju uticaj u </w:t>
      </w:r>
      <w:r w:rsidR="002423A3">
        <w:t xml:space="preserve">njihovo </w:t>
      </w:r>
      <w:r w:rsidR="009B6CB3" w:rsidRPr="00A75F74">
        <w:t xml:space="preserve">slobodno </w:t>
      </w:r>
      <w:proofErr w:type="spellStart"/>
      <w:r w:rsidR="009B6CB3" w:rsidRPr="00A75F74">
        <w:t>vreme</w:t>
      </w:r>
      <w:r w:rsidR="002423A3">
        <w:t>,</w:t>
      </w:r>
      <w:r w:rsidR="009B6CB3" w:rsidRPr="00A75F74">
        <w:t>dizajniraju</w:t>
      </w:r>
      <w:proofErr w:type="spellEnd"/>
      <w:r w:rsidR="009B6CB3" w:rsidRPr="00A75F74">
        <w:t xml:space="preserve">, distribuiraju i koriste na načine koji poboljšavaju </w:t>
      </w:r>
      <w:r w:rsidR="002423A3" w:rsidRPr="00A75F74">
        <w:t>mogućnosti</w:t>
      </w:r>
      <w:r w:rsidR="009B6CB3" w:rsidRPr="00A75F74">
        <w:t xml:space="preserve"> dece </w:t>
      </w:r>
      <w:r w:rsidR="002423A3">
        <w:t>u vezi</w:t>
      </w:r>
      <w:r w:rsidR="009B6CB3" w:rsidRPr="00A75F74">
        <w:t xml:space="preserve"> kultur</w:t>
      </w:r>
      <w:r w:rsidR="002423A3">
        <w:t>e</w:t>
      </w:r>
      <w:r w:rsidR="009B6CB3" w:rsidRPr="00A75F74">
        <w:t>, rekreacij</w:t>
      </w:r>
      <w:r w:rsidR="002423A3">
        <w:t>e</w:t>
      </w:r>
      <w:r w:rsidR="009B6CB3" w:rsidRPr="00A75F74">
        <w:t xml:space="preserve"> i igr</w:t>
      </w:r>
      <w:r w:rsidR="002423A3">
        <w:t>e</w:t>
      </w:r>
      <w:r w:rsidR="009B6CB3" w:rsidRPr="00A75F74">
        <w:t>. To može uključivati podsticanje inovacija u digitaln</w:t>
      </w:r>
      <w:r w:rsidR="002423A3">
        <w:t>im</w:t>
      </w:r>
      <w:r w:rsidR="009B6CB3" w:rsidRPr="00A75F74">
        <w:t xml:space="preserve"> igr</w:t>
      </w:r>
      <w:r w:rsidR="002423A3">
        <w:t>ama</w:t>
      </w:r>
      <w:r w:rsidR="009B6CB3" w:rsidRPr="00A75F74">
        <w:t xml:space="preserve"> i srodnim aktivnostima koje podržavaju dečju autonomiju, lični razvoj i uživanje.</w:t>
      </w:r>
    </w:p>
    <w:p w:rsidR="00FF2D28" w:rsidRPr="00A75F74" w:rsidRDefault="005305D5" w:rsidP="005305D5">
      <w:pPr>
        <w:pStyle w:val="SingleTxtG"/>
      </w:pPr>
      <w:r w:rsidRPr="00A75F74">
        <w:t>109.</w:t>
      </w:r>
      <w:r w:rsidRPr="00A75F74">
        <w:tab/>
      </w:r>
      <w:r w:rsidR="00FF2D28" w:rsidRPr="00A75F74">
        <w:t xml:space="preserve">Države </w:t>
      </w:r>
      <w:proofErr w:type="spellStart"/>
      <w:r w:rsidR="00FF2D28" w:rsidRPr="00A75F74">
        <w:t>ugovornice</w:t>
      </w:r>
      <w:proofErr w:type="spellEnd"/>
      <w:r w:rsidR="00FF2D28" w:rsidRPr="00A75F74">
        <w:t xml:space="preserve"> treba da osiguraju da se promocija </w:t>
      </w:r>
      <w:proofErr w:type="spellStart"/>
      <w:r w:rsidR="002423A3" w:rsidRPr="00A75F74">
        <w:t>mogućnosti</w:t>
      </w:r>
      <w:r w:rsidR="002423A3">
        <w:t>u</w:t>
      </w:r>
      <w:proofErr w:type="spellEnd"/>
      <w:r w:rsidR="002423A3">
        <w:t xml:space="preserve"> vezi</w:t>
      </w:r>
      <w:r w:rsidR="00FF2D28" w:rsidRPr="00A75F74">
        <w:t xml:space="preserve"> kultur</w:t>
      </w:r>
      <w:r w:rsidR="002423A3">
        <w:t>e</w:t>
      </w:r>
      <w:r w:rsidR="00FF2D28" w:rsidRPr="00A75F74">
        <w:t>, razonod</w:t>
      </w:r>
      <w:r w:rsidR="002423A3">
        <w:t>e</w:t>
      </w:r>
      <w:r w:rsidR="00FF2D28" w:rsidRPr="00A75F74">
        <w:t xml:space="preserve"> i igr</w:t>
      </w:r>
      <w:r w:rsidR="002423A3">
        <w:t>e</w:t>
      </w:r>
      <w:r w:rsidR="00FF2D28" w:rsidRPr="00A75F74">
        <w:t xml:space="preserve"> u digitalnom okruženju uravnoteži </w:t>
      </w:r>
      <w:r w:rsidR="002423A3">
        <w:t xml:space="preserve">sa </w:t>
      </w:r>
      <w:r w:rsidR="00FF2D28" w:rsidRPr="00A75F74">
        <w:t xml:space="preserve">pružanjem atraktivnih alternativa na fizičkim lokacijama gde deca žive. </w:t>
      </w:r>
      <w:proofErr w:type="spellStart"/>
      <w:r w:rsidR="002F202F">
        <w:t>D</w:t>
      </w:r>
      <w:r w:rsidR="00FF2D28" w:rsidRPr="00A75F74">
        <w:t>eca</w:t>
      </w:r>
      <w:r w:rsidR="002F202F">
        <w:t>,n</w:t>
      </w:r>
      <w:r w:rsidR="002F202F" w:rsidRPr="00A75F74">
        <w:t>aročito</w:t>
      </w:r>
      <w:proofErr w:type="spellEnd"/>
      <w:r w:rsidR="002F202F" w:rsidRPr="00A75F74">
        <w:t xml:space="preserve"> u ranim </w:t>
      </w:r>
      <w:proofErr w:type="spellStart"/>
      <w:r w:rsidR="002F202F" w:rsidRPr="00A75F74">
        <w:t>godinama</w:t>
      </w:r>
      <w:r w:rsidR="002F202F">
        <w:t>,uče</w:t>
      </w:r>
      <w:proofErr w:type="spellEnd"/>
      <w:r w:rsidR="00FF2D28" w:rsidRPr="00A75F74">
        <w:t xml:space="preserve"> jezik</w:t>
      </w:r>
      <w:r w:rsidR="002F202F">
        <w:t>,</w:t>
      </w:r>
      <w:r w:rsidR="00FF2D28" w:rsidRPr="00A75F74">
        <w:t xml:space="preserve"> koordinaciju</w:t>
      </w:r>
      <w:r w:rsidR="002F202F">
        <w:t xml:space="preserve"> i </w:t>
      </w:r>
      <w:r w:rsidR="00FF2D28" w:rsidRPr="00A75F74">
        <w:t xml:space="preserve">socijalne veštine i </w:t>
      </w:r>
      <w:r w:rsidR="002F202F">
        <w:t xml:space="preserve">stiču </w:t>
      </w:r>
      <w:r w:rsidR="00FF2D28" w:rsidRPr="00A75F74">
        <w:t xml:space="preserve">emocionalnu inteligenciju uglavnom kroz igru koja uključuje fizički pokret i direktnu interakciju licem u lice sa drugim ljudima. Za stariju decu igra i rekreacija koja uključuje fizičke aktivnosti, timske sportove i druge rekreativne aktivnosti na otvorenom </w:t>
      </w:r>
      <w:proofErr w:type="spellStart"/>
      <w:r w:rsidR="00FF2D28" w:rsidRPr="00A75F74">
        <w:t>mo</w:t>
      </w:r>
      <w:r w:rsidR="002F202F">
        <w:t>žedoneti</w:t>
      </w:r>
      <w:proofErr w:type="spellEnd"/>
      <w:r w:rsidR="00FF2D28" w:rsidRPr="00A75F74">
        <w:t xml:space="preserve"> zdravstvene </w:t>
      </w:r>
      <w:r w:rsidR="002F202F">
        <w:t>pogodnosti</w:t>
      </w:r>
      <w:r w:rsidR="00FF2D28" w:rsidRPr="00A75F74">
        <w:t>, kao i funkcionalne i socijalne veštine.</w:t>
      </w:r>
    </w:p>
    <w:p w:rsidR="005305D5" w:rsidRPr="00A75F74" w:rsidRDefault="005305D5" w:rsidP="005305D5">
      <w:pPr>
        <w:pStyle w:val="SingleTxtG"/>
      </w:pPr>
      <w:r w:rsidRPr="00A75F74">
        <w:t>110.</w:t>
      </w:r>
      <w:r w:rsidRPr="00A75F74">
        <w:tab/>
      </w:r>
      <w:r w:rsidR="0040320B" w:rsidRPr="00A75F74">
        <w:t>Slobodno vreme provedeno u digitalnom okruženju može decu izložiti rizicima od štete</w:t>
      </w:r>
      <w:r w:rsidR="002F202F">
        <w:t xml:space="preserve"> koja može nastati</w:t>
      </w:r>
      <w:r w:rsidR="0040320B" w:rsidRPr="00A75F74">
        <w:t xml:space="preserve">, na primer, </w:t>
      </w:r>
      <w:r w:rsidR="002F202F">
        <w:t xml:space="preserve">usled netransparentnog </w:t>
      </w:r>
      <w:r w:rsidR="0040320B" w:rsidRPr="00A75F74">
        <w:t xml:space="preserve">ili </w:t>
      </w:r>
      <w:r w:rsidR="002F202F" w:rsidRPr="00A75F74">
        <w:t>obmanjujuć</w:t>
      </w:r>
      <w:r w:rsidR="002F202F">
        <w:t>eg</w:t>
      </w:r>
      <w:r w:rsidR="0040320B" w:rsidRPr="00A75F74">
        <w:t xml:space="preserve"> oglašavanj</w:t>
      </w:r>
      <w:r w:rsidR="00E31DA6">
        <w:t>a</w:t>
      </w:r>
      <w:r w:rsidR="0040320B" w:rsidRPr="00A75F74">
        <w:t xml:space="preserve"> ili </w:t>
      </w:r>
      <w:proofErr w:type="spellStart"/>
      <w:r w:rsidR="002F202F" w:rsidRPr="00A75F74">
        <w:t>dizajna</w:t>
      </w:r>
      <w:r w:rsidR="002F202F">
        <w:t>koji</w:t>
      </w:r>
      <w:proofErr w:type="spellEnd"/>
      <w:r w:rsidR="002F202F">
        <w:t xml:space="preserve"> je posebno</w:t>
      </w:r>
      <w:r w:rsidR="0040320B" w:rsidRPr="00A75F74">
        <w:t xml:space="preserve"> </w:t>
      </w:r>
      <w:proofErr w:type="spellStart"/>
      <w:r w:rsidR="0040320B" w:rsidRPr="00A75F74">
        <w:t>uverljivili</w:t>
      </w:r>
      <w:proofErr w:type="spellEnd"/>
      <w:r w:rsidR="0040320B" w:rsidRPr="00A75F74">
        <w:t xml:space="preserve"> </w:t>
      </w:r>
      <w:r w:rsidR="002F202F">
        <w:t xml:space="preserve">ima </w:t>
      </w:r>
      <w:r w:rsidR="0040320B" w:rsidRPr="00A75F74">
        <w:t>kockarsk</w:t>
      </w:r>
      <w:r w:rsidR="002F202F">
        <w:t>e</w:t>
      </w:r>
      <w:r w:rsidR="0040320B" w:rsidRPr="00A75F74">
        <w:t xml:space="preserve"> karakteristik</w:t>
      </w:r>
      <w:r w:rsidR="002F202F">
        <w:t>e</w:t>
      </w:r>
      <w:r w:rsidR="0040320B" w:rsidRPr="00A75F74">
        <w:t xml:space="preserve">. Uvođenjem ili </w:t>
      </w:r>
      <w:proofErr w:type="spellStart"/>
      <w:r w:rsidR="002F202F" w:rsidRPr="00A75F74">
        <w:t>korišćenjem</w:t>
      </w:r>
      <w:r w:rsidR="002F202F">
        <w:t>zaštite</w:t>
      </w:r>
      <w:proofErr w:type="spellEnd"/>
      <w:r w:rsidR="002F202F">
        <w:t xml:space="preserve"> </w:t>
      </w:r>
      <w:r w:rsidR="0040320B" w:rsidRPr="00A75F74">
        <w:t xml:space="preserve">podataka, </w:t>
      </w:r>
      <w:r w:rsidR="002F202F" w:rsidRPr="00A75F74">
        <w:t>privatnosti</w:t>
      </w:r>
      <w:r w:rsidR="002F202F">
        <w:t>-po-</w:t>
      </w:r>
      <w:r w:rsidR="0040320B" w:rsidRPr="00A75F74">
        <w:t>dizajnu i sigurnosti</w:t>
      </w:r>
      <w:r w:rsidR="002F202F">
        <w:t>-po-</w:t>
      </w:r>
      <w:r w:rsidR="0040320B" w:rsidRPr="00A75F74">
        <w:t>dizajnu i drugi</w:t>
      </w:r>
      <w:r w:rsidR="002F202F">
        <w:t>h</w:t>
      </w:r>
      <w:r w:rsidR="0040320B" w:rsidRPr="00A75F74">
        <w:t xml:space="preserve"> regulatorni</w:t>
      </w:r>
      <w:r w:rsidR="002F202F">
        <w:t>h</w:t>
      </w:r>
      <w:r w:rsidR="0040320B" w:rsidRPr="00A75F74">
        <w:t xml:space="preserve"> mera, </w:t>
      </w:r>
      <w:r w:rsidR="002F202F">
        <w:t>d</w:t>
      </w:r>
      <w:r w:rsidR="0040320B" w:rsidRPr="00A75F74">
        <w:t xml:space="preserve">ržave </w:t>
      </w:r>
      <w:proofErr w:type="spellStart"/>
      <w:r w:rsidR="0040320B" w:rsidRPr="00A75F74">
        <w:t>ugovornice</w:t>
      </w:r>
      <w:proofErr w:type="spellEnd"/>
      <w:r w:rsidR="0040320B" w:rsidRPr="00A75F74">
        <w:t xml:space="preserve"> treba da obezbede da </w:t>
      </w:r>
      <w:r w:rsidR="002F202F" w:rsidRPr="00A75F74">
        <w:t>preduzeća</w:t>
      </w:r>
      <w:r w:rsidR="0040320B" w:rsidRPr="00A75F74">
        <w:t xml:space="preserve"> ne ciljaju decu </w:t>
      </w:r>
      <w:proofErr w:type="spellStart"/>
      <w:r w:rsidR="00E31DA6" w:rsidRPr="00A75F74">
        <w:t>koristeći</w:t>
      </w:r>
      <w:r w:rsidR="00E31DA6">
        <w:t>pomenute</w:t>
      </w:r>
      <w:proofErr w:type="spellEnd"/>
      <w:r w:rsidR="0040320B" w:rsidRPr="00A75F74">
        <w:t xml:space="preserve"> ili druge tehnike dizajnirane da daju prioritet komercijalnim interesima nad interesima deteta.</w:t>
      </w:r>
    </w:p>
    <w:p w:rsidR="005305D5" w:rsidRPr="00A75F74" w:rsidRDefault="005305D5" w:rsidP="00990575">
      <w:pPr>
        <w:pStyle w:val="SingleTxtG"/>
      </w:pPr>
      <w:r w:rsidRPr="00A75F74">
        <w:t>111.</w:t>
      </w:r>
      <w:r w:rsidRPr="00A75F74">
        <w:tab/>
      </w:r>
      <w:r w:rsidR="00990575" w:rsidRPr="00A75F74">
        <w:t xml:space="preserve">Tamo gde države </w:t>
      </w:r>
      <w:proofErr w:type="spellStart"/>
      <w:r w:rsidR="00E30F44">
        <w:t>ugovornice</w:t>
      </w:r>
      <w:proofErr w:type="spellEnd"/>
      <w:r w:rsidR="00990575" w:rsidRPr="00A75F74">
        <w:t xml:space="preserve"> ili </w:t>
      </w:r>
      <w:proofErr w:type="spellStart"/>
      <w:r w:rsidR="00E30F44" w:rsidRPr="00A75F74">
        <w:t>preduzeća</w:t>
      </w:r>
      <w:r w:rsidR="00E30F44">
        <w:t>daju</w:t>
      </w:r>
      <w:proofErr w:type="spellEnd"/>
      <w:r w:rsidR="00990575" w:rsidRPr="00A75F74">
        <w:t xml:space="preserve"> smernice</w:t>
      </w:r>
      <w:r w:rsidR="00E30F44">
        <w:t xml:space="preserve">, kao i </w:t>
      </w:r>
      <w:r w:rsidR="00990575" w:rsidRPr="00A75F74">
        <w:t>ocene</w:t>
      </w:r>
      <w:r w:rsidR="00E30F44">
        <w:t xml:space="preserve"> prema uzrastu</w:t>
      </w:r>
      <w:r w:rsidR="00990575" w:rsidRPr="00A75F74">
        <w:t>, obeležava</w:t>
      </w:r>
      <w:r w:rsidR="00E30F44">
        <w:t xml:space="preserve">ju </w:t>
      </w:r>
      <w:r w:rsidR="00990575" w:rsidRPr="00A75F74">
        <w:t xml:space="preserve">ili </w:t>
      </w:r>
      <w:proofErr w:type="spellStart"/>
      <w:r w:rsidR="00E30F44">
        <w:t>sertifikuju</w:t>
      </w:r>
      <w:proofErr w:type="spellEnd"/>
      <w:r w:rsidR="00990575" w:rsidRPr="00A75F74">
        <w:t xml:space="preserve"> određen</w:t>
      </w:r>
      <w:r w:rsidR="00E30F44">
        <w:t>e</w:t>
      </w:r>
      <w:r w:rsidR="00990575" w:rsidRPr="00A75F74">
        <w:t xml:space="preserve"> obli</w:t>
      </w:r>
      <w:r w:rsidR="00E30F44">
        <w:t>ke</w:t>
      </w:r>
      <w:r w:rsidR="00990575" w:rsidRPr="00A75F74">
        <w:t xml:space="preserve"> digitaln</w:t>
      </w:r>
      <w:r w:rsidR="00E30F44">
        <w:t>ih</w:t>
      </w:r>
      <w:r w:rsidR="00990575" w:rsidRPr="00A75F74">
        <w:t xml:space="preserve"> ig</w:t>
      </w:r>
      <w:r w:rsidR="00E30F44">
        <w:t>a</w:t>
      </w:r>
      <w:r w:rsidR="00990575" w:rsidRPr="00A75F74">
        <w:t>r</w:t>
      </w:r>
      <w:r w:rsidR="00E30F44">
        <w:t>a</w:t>
      </w:r>
      <w:r w:rsidR="00990575" w:rsidRPr="00A75F74">
        <w:t xml:space="preserve"> i rekreacije, </w:t>
      </w:r>
      <w:r w:rsidR="00E30F44">
        <w:t>formulacije</w:t>
      </w:r>
      <w:r w:rsidR="00990575" w:rsidRPr="00A75F74">
        <w:t xml:space="preserve"> treba da budu </w:t>
      </w:r>
      <w:r w:rsidR="00E30F44">
        <w:t>takve</w:t>
      </w:r>
      <w:r w:rsidR="00990575" w:rsidRPr="00A75F74">
        <w:t xml:space="preserve"> da deci ne umanjuju pristup digitalnom okruženju u celini ili da im ometaju </w:t>
      </w:r>
      <w:r w:rsidR="00E30F44" w:rsidRPr="00A75F74">
        <w:t>mogućnosti</w:t>
      </w:r>
      <w:r w:rsidR="00990575" w:rsidRPr="00A75F74">
        <w:t xml:space="preserve"> za razonodu ili njihovo druga prava.</w:t>
      </w:r>
    </w:p>
    <w:p w:rsidR="0021293B" w:rsidRPr="00A75F74" w:rsidRDefault="0021293B" w:rsidP="0021293B">
      <w:pPr>
        <w:pStyle w:val="HChG"/>
      </w:pPr>
      <w:r w:rsidRPr="00A75F74">
        <w:tab/>
        <w:t>XII.</w:t>
      </w:r>
      <w:r w:rsidRPr="00A75F74">
        <w:tab/>
        <w:t>Posebne mere zaštite</w:t>
      </w:r>
    </w:p>
    <w:p w:rsidR="0021293B" w:rsidRPr="00A75F74" w:rsidRDefault="0021293B" w:rsidP="0021293B">
      <w:pPr>
        <w:pStyle w:val="H1G"/>
      </w:pPr>
      <w:bookmarkStart w:id="15" w:name="_Toc42700969"/>
      <w:bookmarkStart w:id="16" w:name="_Toc47967822"/>
      <w:r w:rsidRPr="00A75F74">
        <w:tab/>
        <w:t>A.</w:t>
      </w:r>
      <w:r w:rsidRPr="00A75F74">
        <w:tab/>
      </w:r>
      <w:bookmarkEnd w:id="15"/>
      <w:bookmarkEnd w:id="16"/>
      <w:r w:rsidR="004E7775" w:rsidRPr="00A75F74">
        <w:t>Zaštita od ekonomskih, seksualnih i drugih oblika eksploatacije</w:t>
      </w:r>
    </w:p>
    <w:p w:rsidR="0021293B" w:rsidRPr="00A75F74" w:rsidRDefault="0021293B" w:rsidP="0021293B">
      <w:pPr>
        <w:pStyle w:val="SingleTxtG"/>
      </w:pPr>
      <w:r w:rsidRPr="00A75F74">
        <w:t>112.</w:t>
      </w:r>
      <w:r w:rsidRPr="00A75F74">
        <w:tab/>
      </w:r>
      <w:r w:rsidR="004E7775" w:rsidRPr="00A75F74">
        <w:t xml:space="preserve">Decu treba zaštititi od svih oblika eksploatacije štetnih za bilo koji aspekt njihove dobrobiti u odnosu na digitalno okruženje. Do eksploatacije može </w:t>
      </w:r>
      <w:r w:rsidR="004708AE" w:rsidRPr="00A75F74">
        <w:t>doći</w:t>
      </w:r>
      <w:r w:rsidR="004E7775" w:rsidRPr="00A75F74">
        <w:t xml:space="preserve"> u mnogim oblicima, poput ekonomske eksploatacije, </w:t>
      </w:r>
      <w:r w:rsidR="004708AE" w:rsidRPr="00A75F74">
        <w:t>uključujući</w:t>
      </w:r>
      <w:r w:rsidR="004E7775" w:rsidRPr="00A75F74">
        <w:t xml:space="preserve"> dečji rad, seksualno </w:t>
      </w:r>
      <w:r w:rsidR="004708AE" w:rsidRPr="00A75F74">
        <w:t>iskorišćavanje</w:t>
      </w:r>
      <w:r w:rsidR="004E7775" w:rsidRPr="00A75F74">
        <w:t xml:space="preserve"> i </w:t>
      </w:r>
      <w:r w:rsidR="004708AE">
        <w:t>zloupotrebu</w:t>
      </w:r>
      <w:r w:rsidR="004E7775" w:rsidRPr="00A75F74">
        <w:t xml:space="preserve">, prodaju, trgovinu i otmicu dece i vrbovanje dece za </w:t>
      </w:r>
      <w:r w:rsidR="004708AE" w:rsidRPr="00A75F74">
        <w:t>učešće</w:t>
      </w:r>
      <w:r w:rsidR="004E7775" w:rsidRPr="00A75F74">
        <w:t xml:space="preserve"> u kriminalnim aktivnostima, </w:t>
      </w:r>
      <w:r w:rsidR="004708AE" w:rsidRPr="00A75F74">
        <w:t>uključujući</w:t>
      </w:r>
      <w:r w:rsidR="004E7775" w:rsidRPr="00A75F74">
        <w:t xml:space="preserve"> oblike </w:t>
      </w:r>
      <w:r w:rsidR="004708AE">
        <w:t>sajber-</w:t>
      </w:r>
      <w:r w:rsidR="004E7775" w:rsidRPr="00A75F74">
        <w:t xml:space="preserve">kriminala. Stvaranjem i deljenjem sadržaja deca mogu </w:t>
      </w:r>
      <w:r w:rsidR="004708AE">
        <w:t>postati</w:t>
      </w:r>
      <w:r w:rsidR="004E7775" w:rsidRPr="00A75F74">
        <w:t xml:space="preserve"> ekonomski akteri u digitalnom okruženju, što može rezultirati njihovom eksploatacijom.</w:t>
      </w:r>
    </w:p>
    <w:p w:rsidR="00D64D2A" w:rsidRPr="00A75F74" w:rsidRDefault="0021293B" w:rsidP="0021293B">
      <w:pPr>
        <w:pStyle w:val="SingleTxtG"/>
      </w:pPr>
      <w:r w:rsidRPr="00A75F74">
        <w:t>113.</w:t>
      </w:r>
      <w:r w:rsidRPr="00A75F74">
        <w:tab/>
      </w:r>
      <w:r w:rsidR="00D64D2A" w:rsidRPr="00A75F74">
        <w:t xml:space="preserve">Države </w:t>
      </w:r>
      <w:proofErr w:type="spellStart"/>
      <w:r w:rsidR="00D64D2A" w:rsidRPr="00A75F74">
        <w:t>ugovornice</w:t>
      </w:r>
      <w:proofErr w:type="spellEnd"/>
      <w:r w:rsidR="00D64D2A" w:rsidRPr="00A75F74">
        <w:t xml:space="preserve"> trebalo bi da preispitaju relevantne zakone i politike kako bi osigurale da su deca </w:t>
      </w:r>
      <w:r w:rsidR="004708AE" w:rsidRPr="00A75F74">
        <w:t>zaštićena</w:t>
      </w:r>
      <w:r w:rsidR="00D64D2A" w:rsidRPr="00A75F74">
        <w:t xml:space="preserve"> od ekonomskog, seksualnog i drugih oblika eksploatacije i da su </w:t>
      </w:r>
      <w:r w:rsidR="004708AE" w:rsidRPr="00A75F74">
        <w:t>zaštićena</w:t>
      </w:r>
      <w:r w:rsidR="00D64D2A" w:rsidRPr="00A75F74">
        <w:t xml:space="preserve"> njihova prava u vezi sa radom u digitalnom okruženju i </w:t>
      </w:r>
      <w:proofErr w:type="spellStart"/>
      <w:r w:rsidR="004708AE">
        <w:t>odgovarajuće</w:t>
      </w:r>
      <w:r w:rsidR="004708AE" w:rsidRPr="00A75F74">
        <w:t>mogućnosti</w:t>
      </w:r>
      <w:proofErr w:type="spellEnd"/>
      <w:r w:rsidR="00D64D2A" w:rsidRPr="00A75F74">
        <w:t xml:space="preserve"> za naknadu.</w:t>
      </w:r>
    </w:p>
    <w:p w:rsidR="00E83EC9" w:rsidRPr="00A75F74" w:rsidRDefault="0021293B" w:rsidP="0021293B">
      <w:pPr>
        <w:pStyle w:val="SingleTxtG"/>
      </w:pPr>
      <w:r w:rsidRPr="00A75F74">
        <w:t>114.</w:t>
      </w:r>
      <w:r w:rsidRPr="00A75F74">
        <w:tab/>
      </w:r>
      <w:r w:rsidR="00E83EC9" w:rsidRPr="00A75F74">
        <w:t xml:space="preserve">Države </w:t>
      </w:r>
      <w:proofErr w:type="spellStart"/>
      <w:r w:rsidR="00E83EC9" w:rsidRPr="00A75F74">
        <w:t>ugovornice</w:t>
      </w:r>
      <w:proofErr w:type="spellEnd"/>
      <w:r w:rsidR="00E83EC9" w:rsidRPr="00A75F74">
        <w:t xml:space="preserve"> treba da osiguraju postojanje </w:t>
      </w:r>
      <w:r w:rsidR="004708AE" w:rsidRPr="00A75F74">
        <w:t>odgovarajućih</w:t>
      </w:r>
      <w:r w:rsidR="00E83EC9" w:rsidRPr="00A75F74">
        <w:t xml:space="preserve"> mehanizama za sprovođenje zakona i </w:t>
      </w:r>
      <w:r w:rsidR="004708AE">
        <w:t xml:space="preserve">da </w:t>
      </w:r>
      <w:r w:rsidR="00E83EC9" w:rsidRPr="00A75F74">
        <w:t xml:space="preserve">podržavaju decu, roditelje i </w:t>
      </w:r>
      <w:r w:rsidR="00F16666">
        <w:t>staraoce</w:t>
      </w:r>
      <w:r w:rsidR="00E83EC9" w:rsidRPr="00A75F74">
        <w:t xml:space="preserve"> u pristupu </w:t>
      </w:r>
      <w:r w:rsidR="004708AE">
        <w:t xml:space="preserve">primenjivoj </w:t>
      </w:r>
      <w:r w:rsidR="00E83EC9" w:rsidRPr="00A75F74">
        <w:lastRenderedPageBreak/>
        <w:t>zaštiti.</w:t>
      </w:r>
      <w:r w:rsidR="004708AE">
        <w:rPr>
          <w:rStyle w:val="FootnoteReference"/>
        </w:rPr>
        <w:footnoteReference w:id="57"/>
      </w:r>
      <w:r w:rsidR="00E83EC9" w:rsidRPr="00A75F74">
        <w:t xml:space="preserve"> Trebalo bi doneti zakone kako bi osigurali da deca budu </w:t>
      </w:r>
      <w:r w:rsidR="000E1BCF" w:rsidRPr="00A75F74">
        <w:t>zaštićena</w:t>
      </w:r>
      <w:r w:rsidR="00E83EC9" w:rsidRPr="00A75F74">
        <w:t xml:space="preserve"> od štetne robe, poput oružja ili droge, ili usluga poput kockanja. Treba koristiti </w:t>
      </w:r>
      <w:r w:rsidR="000E1BCF">
        <w:t>snažne</w:t>
      </w:r>
      <w:r w:rsidR="00E83EC9" w:rsidRPr="00A75F74">
        <w:t xml:space="preserve"> sisteme za proveru </w:t>
      </w:r>
      <w:r w:rsidR="000E1BCF">
        <w:t>uzrasta</w:t>
      </w:r>
      <w:r w:rsidR="00E83EC9" w:rsidRPr="00A75F74">
        <w:t xml:space="preserve"> kako bi se dec</w:t>
      </w:r>
      <w:r w:rsidR="000E1BCF">
        <w:t>a</w:t>
      </w:r>
      <w:r w:rsidR="00E83EC9" w:rsidRPr="00A75F74">
        <w:t xml:space="preserve"> sprečil</w:t>
      </w:r>
      <w:r w:rsidR="000E1BCF">
        <w:t>a</w:t>
      </w:r>
      <w:r w:rsidR="00E83EC9" w:rsidRPr="00A75F74">
        <w:t xml:space="preserve"> da pristupe proizvodima i uslugama </w:t>
      </w:r>
      <w:r w:rsidR="000E1BCF">
        <w:t xml:space="preserve">čije je </w:t>
      </w:r>
      <w:r w:rsidR="000E1BCF" w:rsidRPr="00A75F74">
        <w:t xml:space="preserve">vlasništvo ili </w:t>
      </w:r>
      <w:proofErr w:type="spellStart"/>
      <w:r w:rsidR="000E1BCF" w:rsidRPr="00A75F74">
        <w:t>korišćenje</w:t>
      </w:r>
      <w:r w:rsidR="000E1BCF">
        <w:t>od</w:t>
      </w:r>
      <w:proofErr w:type="spellEnd"/>
      <w:r w:rsidR="000E1BCF">
        <w:t xml:space="preserve"> strane dece </w:t>
      </w:r>
      <w:r w:rsidR="00E83EC9" w:rsidRPr="00A75F74">
        <w:t>protivzakonit</w:t>
      </w:r>
      <w:r w:rsidR="000E1BCF">
        <w:t>o</w:t>
      </w:r>
      <w:r w:rsidR="00E83EC9" w:rsidRPr="00A75F74">
        <w:t xml:space="preserve">. Takvi sistemi treba da budu u skladu sa zahtevima za zaštitu </w:t>
      </w:r>
      <w:r w:rsidR="000E1BCF">
        <w:t xml:space="preserve">i sigurnost </w:t>
      </w:r>
      <w:r w:rsidR="00E83EC9" w:rsidRPr="00A75F74">
        <w:t>podataka.</w:t>
      </w:r>
    </w:p>
    <w:p w:rsidR="00077225" w:rsidRPr="00A75F74" w:rsidRDefault="0021293B" w:rsidP="0021293B">
      <w:pPr>
        <w:pStyle w:val="SingleTxtG"/>
      </w:pPr>
      <w:r w:rsidRPr="00A75F74">
        <w:t>115.</w:t>
      </w:r>
      <w:r w:rsidRPr="00A75F74">
        <w:tab/>
      </w:r>
      <w:r w:rsidR="000E1BCF" w:rsidRPr="00A75F74">
        <w:t>Uzimajući</w:t>
      </w:r>
      <w:r w:rsidR="00077225" w:rsidRPr="00A75F74">
        <w:t xml:space="preserve"> u obzir obaveze država da istražuju, </w:t>
      </w:r>
      <w:proofErr w:type="spellStart"/>
      <w:r w:rsidR="00077225" w:rsidRPr="00A75F74">
        <w:t>procesuiraju</w:t>
      </w:r>
      <w:proofErr w:type="spellEnd"/>
      <w:r w:rsidR="00077225" w:rsidRPr="00A75F74">
        <w:t xml:space="preserve"> i kažnjavaju trgovinu ljudima, </w:t>
      </w:r>
      <w:r w:rsidR="000E1BCF" w:rsidRPr="00A75F74">
        <w:t>uključujući</w:t>
      </w:r>
      <w:r w:rsidR="00077225" w:rsidRPr="00A75F74">
        <w:t xml:space="preserve"> radnje u vezi s tim i s tim povezano ponašanje, </w:t>
      </w:r>
      <w:r w:rsidR="000E1BCF">
        <w:t>d</w:t>
      </w:r>
      <w:r w:rsidR="00077225" w:rsidRPr="00A75F74">
        <w:t xml:space="preserve">ržave </w:t>
      </w:r>
      <w:proofErr w:type="spellStart"/>
      <w:r w:rsidR="00077225" w:rsidRPr="00A75F74">
        <w:t>ugovornice</w:t>
      </w:r>
      <w:proofErr w:type="spellEnd"/>
      <w:r w:rsidR="00077225" w:rsidRPr="00A75F74">
        <w:t xml:space="preserve"> treba da razviju i ažuriraju zakonodavstvo za borbu protiv trgovine ljudima tako da zabranjuju </w:t>
      </w:r>
      <w:r w:rsidR="000E1BCF" w:rsidRPr="00A75F74">
        <w:t xml:space="preserve">tehnološko olakšavanje </w:t>
      </w:r>
      <w:r w:rsidR="000E1BCF">
        <w:t>regrutovanja</w:t>
      </w:r>
      <w:r w:rsidR="00077225" w:rsidRPr="00A75F74">
        <w:t xml:space="preserve"> dece od strane kriminalnih grupa.</w:t>
      </w:r>
    </w:p>
    <w:p w:rsidR="0021293B" w:rsidRPr="00A75F74" w:rsidRDefault="0021293B" w:rsidP="0021293B">
      <w:pPr>
        <w:pStyle w:val="SingleTxtG"/>
      </w:pPr>
      <w:r w:rsidRPr="00A75F74">
        <w:t>116.</w:t>
      </w:r>
      <w:r w:rsidRPr="00A75F74">
        <w:tab/>
      </w:r>
      <w:r w:rsidR="00B437BB" w:rsidRPr="00A75F74">
        <w:t xml:space="preserve">Države </w:t>
      </w:r>
      <w:proofErr w:type="spellStart"/>
      <w:r w:rsidR="00B437BB" w:rsidRPr="00A75F74">
        <w:t>ugovornice</w:t>
      </w:r>
      <w:proofErr w:type="spellEnd"/>
      <w:r w:rsidR="00B437BB" w:rsidRPr="00A75F74">
        <w:t xml:space="preserve"> treba da osiguraju da postoji </w:t>
      </w:r>
      <w:r w:rsidR="000E1BCF" w:rsidRPr="00A75F74">
        <w:t>odgovarajuće</w:t>
      </w:r>
      <w:r w:rsidR="00B437BB" w:rsidRPr="00A75F74">
        <w:t xml:space="preserve"> zakonodavstvo koje štiti decu od zločina koji se dešavaju u digitalnom okruženju, </w:t>
      </w:r>
      <w:r w:rsidR="000E1BCF" w:rsidRPr="00A75F74">
        <w:t>uključujući</w:t>
      </w:r>
      <w:r w:rsidR="00B437BB" w:rsidRPr="00A75F74">
        <w:t xml:space="preserve"> prevare i krađu identiteta, i da izdvoj</w:t>
      </w:r>
      <w:r w:rsidR="000E1BCF">
        <w:t>e</w:t>
      </w:r>
      <w:r w:rsidR="00B437BB" w:rsidRPr="00A75F74">
        <w:t xml:space="preserve"> dovoljno resursa kako bi se osiguralo da se zločini u digitalnom okruženju istražuju i </w:t>
      </w:r>
      <w:proofErr w:type="spellStart"/>
      <w:r w:rsidR="00B437BB" w:rsidRPr="00A75F74">
        <w:t>procesuiraju</w:t>
      </w:r>
      <w:proofErr w:type="spellEnd"/>
      <w:r w:rsidR="00B437BB" w:rsidRPr="00A75F74">
        <w:t xml:space="preserve">. Države </w:t>
      </w:r>
      <w:proofErr w:type="spellStart"/>
      <w:r w:rsidR="00F259C3" w:rsidRPr="00A75F74">
        <w:t>ugovornice</w:t>
      </w:r>
      <w:proofErr w:type="spellEnd"/>
      <w:r w:rsidR="00F259C3" w:rsidRPr="00A75F74">
        <w:t xml:space="preserve"> </w:t>
      </w:r>
      <w:r w:rsidR="00B437BB" w:rsidRPr="00A75F74">
        <w:t xml:space="preserve">takođe treba da zahtevaju </w:t>
      </w:r>
      <w:r w:rsidR="000E1BCF">
        <w:t xml:space="preserve">poštovanje </w:t>
      </w:r>
      <w:r w:rsidR="00B437BB" w:rsidRPr="00A75F74">
        <w:t>visok</w:t>
      </w:r>
      <w:r w:rsidR="000E1BCF">
        <w:t>ih</w:t>
      </w:r>
      <w:r w:rsidR="00B437BB" w:rsidRPr="00A75F74">
        <w:t xml:space="preserve"> standard</w:t>
      </w:r>
      <w:r w:rsidR="000E1BCF">
        <w:t>a</w:t>
      </w:r>
      <w:r w:rsidR="00B437BB" w:rsidRPr="00A75F74">
        <w:t xml:space="preserve"> sajber-bezbednosti, </w:t>
      </w:r>
      <w:r w:rsidR="000E1BCF" w:rsidRPr="00A75F74">
        <w:t>privatnosti</w:t>
      </w:r>
      <w:r w:rsidR="000E1BCF">
        <w:t>-po-</w:t>
      </w:r>
      <w:r w:rsidR="00B437BB" w:rsidRPr="00A75F74">
        <w:t>dizajn</w:t>
      </w:r>
      <w:r w:rsidR="000E1BCF">
        <w:t>u</w:t>
      </w:r>
      <w:r w:rsidR="00B437BB" w:rsidRPr="00A75F74">
        <w:t xml:space="preserve"> i sigurnost</w:t>
      </w:r>
      <w:r w:rsidR="000E1BCF">
        <w:t>i-po-</w:t>
      </w:r>
      <w:proofErr w:type="spellStart"/>
      <w:r w:rsidR="000E1BCF" w:rsidRPr="00A75F74">
        <w:t>dizajn</w:t>
      </w:r>
      <w:r w:rsidR="000E1BCF">
        <w:t>u</w:t>
      </w:r>
      <w:r w:rsidR="00B437BB" w:rsidRPr="00A75F74">
        <w:t>u</w:t>
      </w:r>
      <w:proofErr w:type="spellEnd"/>
      <w:r w:rsidR="00B437BB" w:rsidRPr="00A75F74">
        <w:t xml:space="preserve"> digitalnim uslugama i proizvodima koje deca koriste, kako bi se rizik od takvih krivičnih dela sveo na minimum.</w:t>
      </w:r>
    </w:p>
    <w:p w:rsidR="0021293B" w:rsidRPr="00A75F74" w:rsidRDefault="0021293B" w:rsidP="0021293B">
      <w:pPr>
        <w:pStyle w:val="H1G"/>
      </w:pPr>
      <w:r w:rsidRPr="00A75F74">
        <w:tab/>
        <w:t>B.</w:t>
      </w:r>
      <w:r w:rsidRPr="00A75F74">
        <w:tab/>
      </w:r>
      <w:r w:rsidR="00795BBD" w:rsidRPr="00A75F74">
        <w:t>Izvršenje pravde</w:t>
      </w:r>
      <w:r w:rsidR="000E1BCF">
        <w:t xml:space="preserve"> za decu</w:t>
      </w:r>
    </w:p>
    <w:p w:rsidR="0021293B" w:rsidRPr="00A75F74" w:rsidRDefault="0021293B" w:rsidP="0021293B">
      <w:pPr>
        <w:pStyle w:val="SingleTxtG"/>
      </w:pPr>
      <w:bookmarkStart w:id="17" w:name="_Toc42700970"/>
      <w:bookmarkStart w:id="18" w:name="_Toc47967823"/>
      <w:r w:rsidRPr="00A75F74">
        <w:t>117.</w:t>
      </w:r>
      <w:r w:rsidRPr="00A75F74">
        <w:tab/>
      </w:r>
      <w:r w:rsidR="00795BBD" w:rsidRPr="00A75F74">
        <w:t xml:space="preserve">Za decu se može tvrditi da krše zakone o </w:t>
      </w:r>
      <w:r w:rsidR="000E1BCF">
        <w:t>sajber-</w:t>
      </w:r>
      <w:r w:rsidR="00795BBD" w:rsidRPr="00A75F74">
        <w:t>kriminalu</w:t>
      </w:r>
      <w:r w:rsidR="000E1BCF">
        <w:t xml:space="preserve">, ona se za to mogu </w:t>
      </w:r>
      <w:r w:rsidR="000E1BCF" w:rsidRPr="00A75F74">
        <w:t>optuž</w:t>
      </w:r>
      <w:r w:rsidR="000E1BCF">
        <w:t>iti</w:t>
      </w:r>
      <w:r w:rsidR="000E1BCF" w:rsidRPr="00A75F74">
        <w:t xml:space="preserve"> ili </w:t>
      </w:r>
      <w:r w:rsidR="000E1BCF">
        <w:t xml:space="preserve">se </w:t>
      </w:r>
      <w:r w:rsidR="00C8444E">
        <w:t xml:space="preserve">to </w:t>
      </w:r>
      <w:r w:rsidR="000E1BCF">
        <w:t>može utvrditi.</w:t>
      </w:r>
      <w:r w:rsidR="00795BBD" w:rsidRPr="00A75F74">
        <w:t xml:space="preserve"> Države </w:t>
      </w:r>
      <w:proofErr w:type="spellStart"/>
      <w:r w:rsidR="00E469F8" w:rsidRPr="00A75F74">
        <w:t>ugovornice</w:t>
      </w:r>
      <w:proofErr w:type="spellEnd"/>
      <w:r w:rsidR="00E469F8" w:rsidRPr="00A75F74">
        <w:t xml:space="preserve"> </w:t>
      </w:r>
      <w:r w:rsidR="00795BBD" w:rsidRPr="00A75F74">
        <w:t>treba da osiguraju da kreatori politike razmotre efekte takvih zakona na decu, da se usredsrede na prevenciju i ulože sve napore u stvaranj</w:t>
      </w:r>
      <w:r w:rsidR="00C8444E">
        <w:t>e</w:t>
      </w:r>
      <w:r w:rsidR="00795BBD" w:rsidRPr="00A75F74">
        <w:t xml:space="preserve"> i </w:t>
      </w:r>
      <w:r w:rsidR="00C8444E" w:rsidRPr="00A75F74">
        <w:t>korišćenje</w:t>
      </w:r>
      <w:r w:rsidR="00795BBD" w:rsidRPr="00A75F74">
        <w:t xml:space="preserve"> alternativa krivičnom pravosuđu.</w:t>
      </w:r>
    </w:p>
    <w:p w:rsidR="0021293B" w:rsidRPr="00A75F74" w:rsidRDefault="0021293B" w:rsidP="0021293B">
      <w:pPr>
        <w:pStyle w:val="SingleTxtG"/>
      </w:pPr>
      <w:r w:rsidRPr="00A75F74">
        <w:t>118.</w:t>
      </w:r>
      <w:r w:rsidRPr="00A75F74">
        <w:tab/>
      </w:r>
      <w:r w:rsidR="00C8444E">
        <w:t>S</w:t>
      </w:r>
      <w:r w:rsidR="00C8444E" w:rsidRPr="00A75F74">
        <w:t xml:space="preserve">eksualni materijal </w:t>
      </w:r>
      <w:r w:rsidR="00C8444E">
        <w:t>koji d</w:t>
      </w:r>
      <w:r w:rsidR="00E469F8" w:rsidRPr="00A75F74">
        <w:t>eca sam</w:t>
      </w:r>
      <w:r w:rsidR="00C8444E">
        <w:t>a</w:t>
      </w:r>
      <w:r w:rsidR="00E469F8" w:rsidRPr="00A75F74">
        <w:t xml:space="preserve"> generišu</w:t>
      </w:r>
      <w:r w:rsidR="00C8444E">
        <w:t>, a</w:t>
      </w:r>
      <w:r w:rsidR="00E469F8" w:rsidRPr="00A75F74">
        <w:t xml:space="preserve"> koji poseduju i/ili dele </w:t>
      </w:r>
      <w:proofErr w:type="spellStart"/>
      <w:r w:rsidR="00C8444E">
        <w:t>uzsopstveni</w:t>
      </w:r>
      <w:proofErr w:type="spellEnd"/>
      <w:r w:rsidR="00E469F8" w:rsidRPr="00A75F74">
        <w:t xml:space="preserve"> pristan</w:t>
      </w:r>
      <w:r w:rsidR="00C8444E">
        <w:t>a</w:t>
      </w:r>
      <w:r w:rsidR="00E469F8" w:rsidRPr="00A75F74">
        <w:t xml:space="preserve">k i isključivo za sopstvenu privatnu upotrebu ne bi trebalo </w:t>
      </w:r>
      <w:proofErr w:type="spellStart"/>
      <w:r w:rsidR="00E469F8" w:rsidRPr="00A75F74">
        <w:t>kriminalizovati</w:t>
      </w:r>
      <w:proofErr w:type="spellEnd"/>
      <w:r w:rsidR="00E469F8" w:rsidRPr="00A75F74">
        <w:t xml:space="preserve">. Treba stvoriti kanale prilagođene deci kako bi se deci </w:t>
      </w:r>
      <w:r w:rsidR="00C8444E" w:rsidRPr="00A75F74">
        <w:t>omogućilo</w:t>
      </w:r>
      <w:r w:rsidR="00E469F8" w:rsidRPr="00A75F74">
        <w:t xml:space="preserve"> da bezbedno traže savet i </w:t>
      </w:r>
      <w:proofErr w:type="spellStart"/>
      <w:r w:rsidR="00C8444E" w:rsidRPr="00A75F74">
        <w:t>pomo</w:t>
      </w:r>
      <w:r w:rsidR="00C8444E">
        <w:t>ćkada</w:t>
      </w:r>
      <w:proofErr w:type="spellEnd"/>
      <w:r w:rsidR="00C8444E">
        <w:t xml:space="preserve"> je u pitanju</w:t>
      </w:r>
      <w:r w:rsidR="00E469F8" w:rsidRPr="00A75F74">
        <w:t xml:space="preserve"> sopstveni seksualno eksplicitni sadržaj.</w:t>
      </w:r>
    </w:p>
    <w:p w:rsidR="0021293B" w:rsidRPr="00A75F74" w:rsidRDefault="0021293B" w:rsidP="0021293B">
      <w:pPr>
        <w:pStyle w:val="SingleTxtG"/>
      </w:pPr>
      <w:r w:rsidRPr="00A75F74">
        <w:t>119.</w:t>
      </w:r>
      <w:r w:rsidRPr="00A75F74">
        <w:tab/>
      </w:r>
      <w:r w:rsidR="005E5151" w:rsidRPr="00A75F74">
        <w:t xml:space="preserve">Države </w:t>
      </w:r>
      <w:proofErr w:type="spellStart"/>
      <w:r w:rsidR="005E5151" w:rsidRPr="00A75F74">
        <w:t>ugovornice</w:t>
      </w:r>
      <w:proofErr w:type="spellEnd"/>
      <w:r w:rsidR="005E5151" w:rsidRPr="00A75F74">
        <w:t xml:space="preserve"> trebalo bi da osiguraju da se digitalne tehnologije, nadzorni mehanizmi, poput softvera za prepoznavanje lica, </w:t>
      </w:r>
      <w:r w:rsidR="00471A64">
        <w:t xml:space="preserve">kao </w:t>
      </w:r>
      <w:r w:rsidR="005E5151" w:rsidRPr="00A75F74">
        <w:t xml:space="preserve">i </w:t>
      </w:r>
      <w:proofErr w:type="spellStart"/>
      <w:r w:rsidR="005E5151" w:rsidRPr="00A75F74">
        <w:t>profilisanje</w:t>
      </w:r>
      <w:proofErr w:type="spellEnd"/>
      <w:r w:rsidR="005E5151" w:rsidRPr="00A75F74">
        <w:t xml:space="preserve"> rizika</w:t>
      </w:r>
      <w:r w:rsidR="00471A64">
        <w:t>,</w:t>
      </w:r>
      <w:r w:rsidR="005E5151" w:rsidRPr="00A75F74">
        <w:t xml:space="preserve"> koji se koriste u prevenciji, istrazi i gonjenju zločina ne koriste za nepravedno ciljanje dece osumnjičene ili optužene za krivična </w:t>
      </w:r>
      <w:proofErr w:type="spellStart"/>
      <w:r w:rsidR="005E5151" w:rsidRPr="00A75F74">
        <w:t>dela</w:t>
      </w:r>
      <w:r w:rsidR="00471A64">
        <w:t>,niti</w:t>
      </w:r>
      <w:proofErr w:type="spellEnd"/>
      <w:r w:rsidR="00471A64">
        <w:t xml:space="preserve"> da se</w:t>
      </w:r>
      <w:r w:rsidR="005E5151" w:rsidRPr="00A75F74">
        <w:t xml:space="preserve"> koriste na način koji krši njihova prava, posebno njihova prava na privatnost, dostojanstvo i slobodu udruživanja.</w:t>
      </w:r>
    </w:p>
    <w:p w:rsidR="0021293B" w:rsidRPr="00A75F74" w:rsidRDefault="0021293B" w:rsidP="0021293B">
      <w:pPr>
        <w:pStyle w:val="SingleTxtG"/>
      </w:pPr>
      <w:r w:rsidRPr="00A75F74">
        <w:t>120.</w:t>
      </w:r>
      <w:r w:rsidRPr="00A75F74">
        <w:tab/>
      </w:r>
      <w:r w:rsidR="001E4039" w:rsidRPr="00A75F74">
        <w:t xml:space="preserve">Komitet prepoznaje da, </w:t>
      </w:r>
      <w:r w:rsidR="00471A64">
        <w:t>tamo gde</w:t>
      </w:r>
      <w:r w:rsidR="001E4039" w:rsidRPr="00A75F74">
        <w:t xml:space="preserve"> digitalizacija sudskih postupaka </w:t>
      </w:r>
      <w:r w:rsidR="00471A64">
        <w:t xml:space="preserve">ima za </w:t>
      </w:r>
      <w:proofErr w:type="spellStart"/>
      <w:r w:rsidR="00471A64">
        <w:t>posledicuodsustvo</w:t>
      </w:r>
      <w:proofErr w:type="spellEnd"/>
      <w:r w:rsidR="001E4039" w:rsidRPr="00A75F74">
        <w:t xml:space="preserve"> ličnog kontakta sa decom, to može imati negativan uticaj na rehabilitacione i </w:t>
      </w:r>
      <w:proofErr w:type="spellStart"/>
      <w:r w:rsidR="001E4039" w:rsidRPr="00A75F74">
        <w:t>restorativne</w:t>
      </w:r>
      <w:proofErr w:type="spellEnd"/>
      <w:r w:rsidR="001E4039" w:rsidRPr="00A75F74">
        <w:t xml:space="preserve"> mere pravde</w:t>
      </w:r>
      <w:r w:rsidR="00471A64">
        <w:t>, koje se</w:t>
      </w:r>
      <w:r w:rsidR="001E4039" w:rsidRPr="00A75F74">
        <w:t xml:space="preserve"> </w:t>
      </w:r>
      <w:proofErr w:type="spellStart"/>
      <w:r w:rsidR="001E4039" w:rsidRPr="00A75F74">
        <w:t>gra</w:t>
      </w:r>
      <w:r w:rsidR="00471A64">
        <w:t>dekroz</w:t>
      </w:r>
      <w:proofErr w:type="spellEnd"/>
      <w:r w:rsidR="001E4039" w:rsidRPr="00A75F74">
        <w:t xml:space="preserve"> razvoj odnosa sa detetom. U takvim slučajevima, a takođe i tamo gde su deca lišena slobode, </w:t>
      </w:r>
      <w:r w:rsidR="00471A64">
        <w:t>d</w:t>
      </w:r>
      <w:r w:rsidR="001E4039" w:rsidRPr="00A75F74">
        <w:t xml:space="preserve">ržave </w:t>
      </w:r>
      <w:proofErr w:type="spellStart"/>
      <w:r w:rsidR="001E4039" w:rsidRPr="00A75F74">
        <w:t>ugovornice</w:t>
      </w:r>
      <w:proofErr w:type="spellEnd"/>
      <w:r w:rsidR="001E4039" w:rsidRPr="00A75F74">
        <w:t xml:space="preserve"> treba da obezbede ličn</w:t>
      </w:r>
      <w:r w:rsidR="00340787">
        <w:t>e</w:t>
      </w:r>
      <w:r w:rsidR="001E4039" w:rsidRPr="00A75F74">
        <w:t xml:space="preserve"> kontakt</w:t>
      </w:r>
      <w:r w:rsidR="00340787">
        <w:t>e</w:t>
      </w:r>
      <w:r w:rsidR="001E4039" w:rsidRPr="00A75F74">
        <w:t xml:space="preserve"> kako bi se deci olakšala </w:t>
      </w:r>
      <w:r w:rsidR="00471A64">
        <w:t>mogućnost</w:t>
      </w:r>
      <w:r w:rsidR="001E4039" w:rsidRPr="00A75F74">
        <w:t xml:space="preserve"> smislenog stupanja u kontakt sa sudovima i </w:t>
      </w:r>
      <w:r w:rsidR="00340787">
        <w:t>učestvovanja u sopstvenoj</w:t>
      </w:r>
      <w:r w:rsidR="001E4039" w:rsidRPr="00A75F74">
        <w:t xml:space="preserve"> rehabilitacij</w:t>
      </w:r>
      <w:r w:rsidR="00340787">
        <w:t>i</w:t>
      </w:r>
      <w:r w:rsidR="001E4039" w:rsidRPr="00A75F74">
        <w:t>.</w:t>
      </w:r>
    </w:p>
    <w:p w:rsidR="0021293B" w:rsidRPr="00A75F74" w:rsidRDefault="0021293B" w:rsidP="0021293B">
      <w:pPr>
        <w:pStyle w:val="H1G"/>
      </w:pPr>
      <w:r w:rsidRPr="00A75F74">
        <w:tab/>
        <w:t>C.</w:t>
      </w:r>
      <w:r w:rsidRPr="00A75F74">
        <w:tab/>
      </w:r>
      <w:bookmarkEnd w:id="17"/>
      <w:bookmarkEnd w:id="18"/>
      <w:r w:rsidR="001E4039" w:rsidRPr="00A75F74">
        <w:t xml:space="preserve">Zaštita dece u oružanom sukobu, dece </w:t>
      </w:r>
      <w:proofErr w:type="spellStart"/>
      <w:r w:rsidR="001E4039" w:rsidRPr="00A75F74">
        <w:t>migranata</w:t>
      </w:r>
      <w:proofErr w:type="spellEnd"/>
      <w:r w:rsidR="001E4039" w:rsidRPr="00A75F74">
        <w:t xml:space="preserve"> i dece u drugim osetljivim situacijama</w:t>
      </w:r>
    </w:p>
    <w:p w:rsidR="0021293B" w:rsidRPr="00A75F74" w:rsidRDefault="0021293B" w:rsidP="0021293B">
      <w:pPr>
        <w:pStyle w:val="SingleTxtG"/>
      </w:pPr>
      <w:bookmarkStart w:id="19" w:name="_Toc47967824"/>
      <w:r w:rsidRPr="00A75F74">
        <w:t>121.</w:t>
      </w:r>
      <w:r w:rsidRPr="00A75F74">
        <w:tab/>
      </w:r>
      <w:r w:rsidR="004F3C64" w:rsidRPr="00A75F74">
        <w:t xml:space="preserve">Digitalno okruženje može deci koja žive u osetljivim situacijama, </w:t>
      </w:r>
      <w:r w:rsidR="00340787" w:rsidRPr="00A75F74">
        <w:t>uključujući</w:t>
      </w:r>
      <w:r w:rsidR="004F3C64" w:rsidRPr="00A75F74">
        <w:t xml:space="preserve"> decu u oružanom sukobu, interno raseljenu decu, decu </w:t>
      </w:r>
      <w:proofErr w:type="spellStart"/>
      <w:r w:rsidR="004F3C64" w:rsidRPr="00A75F74">
        <w:t>migrante</w:t>
      </w:r>
      <w:proofErr w:type="spellEnd"/>
      <w:r w:rsidR="004F3C64" w:rsidRPr="00A75F74">
        <w:t xml:space="preserve">, decu koja traže azil i izbeglice, decu bez pratnje, decu </w:t>
      </w:r>
      <w:proofErr w:type="spellStart"/>
      <w:r w:rsidR="00340787">
        <w:t>prepuštenu</w:t>
      </w:r>
      <w:r w:rsidR="00340787" w:rsidRPr="00A75F74">
        <w:t>uli</w:t>
      </w:r>
      <w:r w:rsidR="00340787">
        <w:t>ci</w:t>
      </w:r>
      <w:proofErr w:type="spellEnd"/>
      <w:r w:rsidR="004F3C64" w:rsidRPr="00A75F74">
        <w:t xml:space="preserve"> i decu pogođenu prirodnim katastrofama, </w:t>
      </w:r>
      <w:r w:rsidR="00340787" w:rsidRPr="00A75F74">
        <w:t>omogućiti</w:t>
      </w:r>
      <w:r w:rsidR="004F3C64" w:rsidRPr="00A75F74">
        <w:t xml:space="preserve"> pristup </w:t>
      </w:r>
      <w:r w:rsidR="00340787" w:rsidRPr="00A75F74">
        <w:t>informacij</w:t>
      </w:r>
      <w:r w:rsidR="00340787">
        <w:t xml:space="preserve">a od životnog </w:t>
      </w:r>
      <w:proofErr w:type="spellStart"/>
      <w:r w:rsidR="00340787">
        <w:t>značaja,</w:t>
      </w:r>
      <w:r w:rsidR="004F3C64" w:rsidRPr="00A75F74">
        <w:t>koje</w:t>
      </w:r>
      <w:proofErr w:type="spellEnd"/>
      <w:r w:rsidR="004F3C64" w:rsidRPr="00A75F74">
        <w:t xml:space="preserve"> su </w:t>
      </w:r>
      <w:r w:rsidR="00340787">
        <w:t>ključne</w:t>
      </w:r>
      <w:r w:rsidR="004F3C64" w:rsidRPr="00A75F74">
        <w:t xml:space="preserve"> za njihovu zaštitu. Digitalno okruženje im </w:t>
      </w:r>
      <w:r w:rsidR="00340787" w:rsidRPr="00A75F74">
        <w:t xml:space="preserve">takođe </w:t>
      </w:r>
      <w:r w:rsidR="004F3C64" w:rsidRPr="00A75F74">
        <w:t xml:space="preserve">može </w:t>
      </w:r>
      <w:r w:rsidR="00340787" w:rsidRPr="00A75F74">
        <w:t>omogućiti</w:t>
      </w:r>
      <w:r w:rsidR="004F3C64" w:rsidRPr="00A75F74">
        <w:t xml:space="preserve"> da održavaju kontakt sa porodicama, </w:t>
      </w:r>
      <w:r w:rsidR="00340787" w:rsidRPr="00A75F74">
        <w:t>omogućiti</w:t>
      </w:r>
      <w:r w:rsidR="004F3C64" w:rsidRPr="00A75F74">
        <w:t xml:space="preserve"> im pristup obrazovanju, zdravstvu i drugim osnovnim uslugama </w:t>
      </w:r>
      <w:r w:rsidR="004F3C64" w:rsidRPr="00A75F74">
        <w:lastRenderedPageBreak/>
        <w:t xml:space="preserve">i </w:t>
      </w:r>
      <w:r w:rsidR="00340787" w:rsidRPr="00A75F74">
        <w:t>omogućiti</w:t>
      </w:r>
      <w:r w:rsidR="004F3C64" w:rsidRPr="00A75F74">
        <w:t xml:space="preserve"> im da dobiju hranu i sigurno sklonište. Države </w:t>
      </w:r>
      <w:proofErr w:type="spellStart"/>
      <w:r w:rsidR="00F4025B" w:rsidRPr="00A75F74">
        <w:t>ugovornice</w:t>
      </w:r>
      <w:proofErr w:type="spellEnd"/>
      <w:r w:rsidR="00F4025B" w:rsidRPr="00A75F74">
        <w:t xml:space="preserve"> </w:t>
      </w:r>
      <w:r w:rsidR="004F3C64" w:rsidRPr="00A75F74">
        <w:t xml:space="preserve">treba </w:t>
      </w:r>
      <w:r w:rsidR="00340787" w:rsidRPr="00A75F74">
        <w:t xml:space="preserve">takvoj deci </w:t>
      </w:r>
      <w:r w:rsidR="004F3C64" w:rsidRPr="00A75F74">
        <w:t xml:space="preserve">da obezbede siguran, </w:t>
      </w:r>
      <w:r w:rsidR="00340787">
        <w:t>bezbedan</w:t>
      </w:r>
      <w:r w:rsidR="004F3C64" w:rsidRPr="00A75F74">
        <w:t>, privat</w:t>
      </w:r>
      <w:r w:rsidR="00340787">
        <w:t>a</w:t>
      </w:r>
      <w:r w:rsidR="004F3C64" w:rsidRPr="00A75F74">
        <w:t xml:space="preserve">n i koristan pristup u digitalno okruženje i da ih zaštite od svih oblika nasilja, eksploatacije i </w:t>
      </w:r>
      <w:r w:rsidR="00340787">
        <w:t>zloupotrebe</w:t>
      </w:r>
      <w:r w:rsidR="004F3C64" w:rsidRPr="00A75F74">
        <w:t>.</w:t>
      </w:r>
    </w:p>
    <w:p w:rsidR="0021293B" w:rsidRPr="00A75F74" w:rsidRDefault="0021293B" w:rsidP="0021293B">
      <w:pPr>
        <w:pStyle w:val="SingleTxtG"/>
      </w:pPr>
      <w:r w:rsidRPr="00A75F74">
        <w:t>122.</w:t>
      </w:r>
      <w:r w:rsidRPr="00A75F74">
        <w:tab/>
      </w:r>
      <w:r w:rsidR="00D44230" w:rsidRPr="00A75F74">
        <w:t xml:space="preserve">Države </w:t>
      </w:r>
      <w:proofErr w:type="spellStart"/>
      <w:r w:rsidR="008806FC" w:rsidRPr="00A75F74">
        <w:t>ugovornice</w:t>
      </w:r>
      <w:proofErr w:type="spellEnd"/>
      <w:r w:rsidR="008806FC" w:rsidRPr="00A75F74">
        <w:t xml:space="preserve"> </w:t>
      </w:r>
      <w:r w:rsidR="00D44230" w:rsidRPr="00A75F74">
        <w:t xml:space="preserve">treba da osiguraju da se deca </w:t>
      </w:r>
      <w:r w:rsidR="00340787" w:rsidRPr="00A75F74">
        <w:t xml:space="preserve">kroz digitalno </w:t>
      </w:r>
      <w:proofErr w:type="spellStart"/>
      <w:r w:rsidR="00340787" w:rsidRPr="00A75F74">
        <w:t>okruženje</w:t>
      </w:r>
      <w:r w:rsidR="00D44230" w:rsidRPr="00A75F74">
        <w:t>ne</w:t>
      </w:r>
      <w:proofErr w:type="spellEnd"/>
      <w:r w:rsidR="00D44230" w:rsidRPr="00A75F74">
        <w:t xml:space="preserve"> regrutuju i ne koriste u sukobima, </w:t>
      </w:r>
      <w:r w:rsidR="00340787" w:rsidRPr="00A75F74">
        <w:t>uključujući</w:t>
      </w:r>
      <w:r w:rsidR="00D44230" w:rsidRPr="00A75F74">
        <w:t xml:space="preserve"> oružane sukobe. To uključuje sprečavanje, </w:t>
      </w:r>
      <w:proofErr w:type="spellStart"/>
      <w:r w:rsidR="00D44230" w:rsidRPr="00A75F74">
        <w:t>kriminalizovanje</w:t>
      </w:r>
      <w:proofErr w:type="spellEnd"/>
      <w:r w:rsidR="00D44230" w:rsidRPr="00A75F74">
        <w:t xml:space="preserve"> i sankcionisanje različitih oblika </w:t>
      </w:r>
      <w:r w:rsidR="00340787">
        <w:t>uspostavljanja</w:t>
      </w:r>
      <w:r w:rsidR="00D44230" w:rsidRPr="00A75F74">
        <w:t xml:space="preserve"> i neg</w:t>
      </w:r>
      <w:r w:rsidR="00340787">
        <w:t xml:space="preserve">ovanja </w:t>
      </w:r>
      <w:proofErr w:type="spellStart"/>
      <w:r w:rsidR="00340787">
        <w:t>odnosasa</w:t>
      </w:r>
      <w:proofErr w:type="spellEnd"/>
      <w:r w:rsidR="00340787">
        <w:t xml:space="preserve"> </w:t>
      </w:r>
      <w:r w:rsidR="00D44230" w:rsidRPr="00A75F74">
        <w:t>dec</w:t>
      </w:r>
      <w:r w:rsidR="00340787">
        <w:t>om</w:t>
      </w:r>
      <w:r w:rsidR="00D44230" w:rsidRPr="00A75F74">
        <w:t xml:space="preserve"> uz </w:t>
      </w:r>
      <w:r w:rsidR="00340787" w:rsidRPr="00A75F74">
        <w:t>pomo</w:t>
      </w:r>
      <w:r w:rsidR="00340787">
        <w:t>ć</w:t>
      </w:r>
      <w:r w:rsidR="00D44230" w:rsidRPr="00A75F74">
        <w:t xml:space="preserve"> tehnologije, na primer, </w:t>
      </w:r>
      <w:r w:rsidR="00340787" w:rsidRPr="00A75F74">
        <w:t>korišćenjem</w:t>
      </w:r>
      <w:r w:rsidR="00D44230" w:rsidRPr="00A75F74">
        <w:t xml:space="preserve"> platformi za društvene mreže ili usluga </w:t>
      </w:r>
      <w:r w:rsidR="00340787" w:rsidRPr="00A75F74">
        <w:t>ćaskanja</w:t>
      </w:r>
      <w:r w:rsidR="00D44230" w:rsidRPr="00A75F74">
        <w:t xml:space="preserve"> u </w:t>
      </w:r>
      <w:r w:rsidR="00340787">
        <w:t xml:space="preserve">okviru </w:t>
      </w:r>
      <w:r w:rsidR="00D44230" w:rsidRPr="00A75F74">
        <w:t>ig</w:t>
      </w:r>
      <w:r w:rsidR="00340787">
        <w:t>a</w:t>
      </w:r>
      <w:r w:rsidR="00D44230" w:rsidRPr="00A75F74">
        <w:t>ra</w:t>
      </w:r>
      <w:r w:rsidR="00340787">
        <w:t xml:space="preserve"> na mreži</w:t>
      </w:r>
      <w:r w:rsidR="00D44230" w:rsidRPr="00A75F74">
        <w:t>.</w:t>
      </w:r>
    </w:p>
    <w:p w:rsidR="0021293B" w:rsidRPr="00A75F74" w:rsidRDefault="0021293B" w:rsidP="0021293B">
      <w:pPr>
        <w:pStyle w:val="HChG"/>
      </w:pPr>
      <w:r w:rsidRPr="00A75F74">
        <w:tab/>
        <w:t>XIII.</w:t>
      </w:r>
      <w:r w:rsidRPr="00A75F74">
        <w:tab/>
      </w:r>
      <w:bookmarkEnd w:id="19"/>
      <w:r w:rsidR="008806FC" w:rsidRPr="00A75F74">
        <w:t>Međunarodna i regionalna saradnja</w:t>
      </w:r>
    </w:p>
    <w:p w:rsidR="0021293B" w:rsidRPr="00A75F74" w:rsidRDefault="0021293B" w:rsidP="0021293B">
      <w:pPr>
        <w:pStyle w:val="SingleTxtG"/>
      </w:pPr>
      <w:bookmarkStart w:id="20" w:name="_Toc24745322"/>
      <w:bookmarkStart w:id="21" w:name="_Toc47967825"/>
      <w:r w:rsidRPr="00A75F74">
        <w:t>123.</w:t>
      </w:r>
      <w:r w:rsidRPr="00A75F74">
        <w:tab/>
      </w:r>
      <w:proofErr w:type="spellStart"/>
      <w:r w:rsidR="00EB001E" w:rsidRPr="00A75F74">
        <w:t>Prekogranična</w:t>
      </w:r>
      <w:proofErr w:type="spellEnd"/>
      <w:r w:rsidR="00EB001E" w:rsidRPr="00A75F74">
        <w:t xml:space="preserve"> i </w:t>
      </w:r>
      <w:proofErr w:type="spellStart"/>
      <w:r w:rsidR="00EB001E" w:rsidRPr="00A75F74">
        <w:t>transnacionalna</w:t>
      </w:r>
      <w:proofErr w:type="spellEnd"/>
      <w:r w:rsidR="00EB001E" w:rsidRPr="00A75F74">
        <w:t xml:space="preserve"> priroda digitalnog okruženja zahteva snažnu međunarodnu i regionalnu saradnju, kako bi se osiguralo da sve zainteresovane strane, </w:t>
      </w:r>
      <w:r w:rsidR="00340787" w:rsidRPr="00A75F74">
        <w:t>uključujući</w:t>
      </w:r>
      <w:r w:rsidR="00EB001E" w:rsidRPr="00A75F74">
        <w:t xml:space="preserve"> države, </w:t>
      </w:r>
      <w:r w:rsidR="00340787" w:rsidRPr="00A75F74">
        <w:t>preduzeća</w:t>
      </w:r>
      <w:r w:rsidR="00EB001E" w:rsidRPr="00A75F74">
        <w:t xml:space="preserve"> i druge aktere, efikasno poštuju, štite i ispunjavaju </w:t>
      </w:r>
      <w:r w:rsidR="004D7B18">
        <w:t xml:space="preserve">prava </w:t>
      </w:r>
      <w:proofErr w:type="spellStart"/>
      <w:r w:rsidR="004D7B18">
        <w:t>deteta</w:t>
      </w:r>
      <w:r w:rsidR="00EB001E" w:rsidRPr="00A75F74">
        <w:t>u</w:t>
      </w:r>
      <w:proofErr w:type="spellEnd"/>
      <w:r w:rsidR="00EB001E" w:rsidRPr="00A75F74">
        <w:t xml:space="preserve"> odnosu na digitalno okruženje. S</w:t>
      </w:r>
      <w:r w:rsidR="00976441" w:rsidRPr="00A75F74">
        <w:t xml:space="preserve">toga je od vitalne važnosti da </w:t>
      </w:r>
      <w:r w:rsidR="004A2A7A">
        <w:t>d</w:t>
      </w:r>
      <w:r w:rsidR="00EB001E" w:rsidRPr="00A75F74">
        <w:t xml:space="preserve">ržave </w:t>
      </w:r>
      <w:proofErr w:type="spellStart"/>
      <w:r w:rsidR="00976441" w:rsidRPr="00A75F74">
        <w:t>ugovornice</w:t>
      </w:r>
      <w:proofErr w:type="spellEnd"/>
      <w:r w:rsidR="00976441" w:rsidRPr="00A75F74">
        <w:t xml:space="preserve"> </w:t>
      </w:r>
      <w:r w:rsidR="00EB001E" w:rsidRPr="00A75F74">
        <w:t xml:space="preserve">sarađuju bilateralno i multilateralno sa nacionalnim i međunarodnim nevladinim organizacijama, agencijama Ujedinjenih nacija, </w:t>
      </w:r>
      <w:r w:rsidR="00CE616F" w:rsidRPr="00A75F74">
        <w:t>preduzećima</w:t>
      </w:r>
      <w:r w:rsidR="00EB001E" w:rsidRPr="00A75F74">
        <w:t xml:space="preserve"> i organizacijama specijalizovanim za zaštitu dece i ljudska prava u vezi sa digitalnim okruženjem.</w:t>
      </w:r>
    </w:p>
    <w:p w:rsidR="0021293B" w:rsidRPr="00A75F74" w:rsidRDefault="0021293B" w:rsidP="0021293B">
      <w:pPr>
        <w:pStyle w:val="SingleTxtG"/>
      </w:pPr>
      <w:r w:rsidRPr="00A75F74">
        <w:t>124.</w:t>
      </w:r>
      <w:r w:rsidRPr="00A75F74">
        <w:tab/>
      </w:r>
      <w:r w:rsidR="00A7311E" w:rsidRPr="00A75F74">
        <w:t xml:space="preserve">Države </w:t>
      </w:r>
      <w:proofErr w:type="spellStart"/>
      <w:r w:rsidR="00265A0B" w:rsidRPr="00A75F74">
        <w:t>ugovornice</w:t>
      </w:r>
      <w:proofErr w:type="spellEnd"/>
      <w:r w:rsidR="00265A0B" w:rsidRPr="00A75F74">
        <w:t xml:space="preserve"> </w:t>
      </w:r>
      <w:r w:rsidR="00A7311E" w:rsidRPr="00A75F74">
        <w:t>treba da promovišu i doprinose međunarodnoj i regionalnoj razmeni stručnosti i dobrih praksi i uspostave i promovišu izgradnju kapaciteta, resurse, standarde, propise i zaštitu preko nacionalnih granica</w:t>
      </w:r>
      <w:r w:rsidR="00CE616F">
        <w:t>,</w:t>
      </w:r>
      <w:r w:rsidR="00A7311E" w:rsidRPr="00A75F74">
        <w:t xml:space="preserve"> </w:t>
      </w:r>
      <w:proofErr w:type="spellStart"/>
      <w:r w:rsidR="00A7311E" w:rsidRPr="00A75F74">
        <w:t>koj</w:t>
      </w:r>
      <w:r w:rsidR="00CE616F">
        <w:t>i</w:t>
      </w:r>
      <w:r w:rsidR="00CE616F" w:rsidRPr="00A75F74">
        <w:t>omogućavaju</w:t>
      </w:r>
      <w:proofErr w:type="spellEnd"/>
      <w:r w:rsidR="00A7311E" w:rsidRPr="00A75F74">
        <w:t xml:space="preserve"> ostvarivanje prava deteta u digitalnom okruženju od strane svih država. On</w:t>
      </w:r>
      <w:r w:rsidR="00CE616F">
        <w:t>e</w:t>
      </w:r>
      <w:r w:rsidR="00A7311E" w:rsidRPr="00A75F74">
        <w:t xml:space="preserve"> treba da podstiču formulisanje zajedničke definicije onoga što predstavlja zločin u digitalnom okruženju, uzajamnu pravnu </w:t>
      </w:r>
      <w:r w:rsidR="00CE616F" w:rsidRPr="00A75F74">
        <w:t>pomoć</w:t>
      </w:r>
      <w:r w:rsidR="00A7311E" w:rsidRPr="00A75F74">
        <w:t>́ i zajedničko prikupljanje i razmenu dokaza.</w:t>
      </w:r>
    </w:p>
    <w:p w:rsidR="0021293B" w:rsidRPr="00A75F74" w:rsidRDefault="0021293B" w:rsidP="0021293B">
      <w:pPr>
        <w:pStyle w:val="HChG"/>
      </w:pPr>
      <w:r w:rsidRPr="00A75F74">
        <w:tab/>
        <w:t>XIV.</w:t>
      </w:r>
      <w:r w:rsidRPr="00A75F74">
        <w:tab/>
      </w:r>
      <w:bookmarkEnd w:id="20"/>
      <w:bookmarkEnd w:id="21"/>
      <w:r w:rsidR="00B423EA" w:rsidRPr="00A75F74">
        <w:t>Širenje</w:t>
      </w:r>
    </w:p>
    <w:p w:rsidR="0021293B" w:rsidRPr="00A75F74" w:rsidRDefault="0021293B" w:rsidP="0021293B">
      <w:pPr>
        <w:pStyle w:val="SingleTxtG"/>
        <w:keepNext/>
        <w:keepLines/>
      </w:pPr>
      <w:r w:rsidRPr="00A75F74">
        <w:t>125.</w:t>
      </w:r>
      <w:r w:rsidRPr="00A75F74">
        <w:tab/>
      </w:r>
      <w:r w:rsidR="00FC04ED" w:rsidRPr="00A75F74">
        <w:t xml:space="preserve">Države </w:t>
      </w:r>
      <w:proofErr w:type="spellStart"/>
      <w:r w:rsidR="00FC04ED" w:rsidRPr="00A75F74">
        <w:t>ugovornice</w:t>
      </w:r>
      <w:proofErr w:type="spellEnd"/>
      <w:r w:rsidR="00FC04ED" w:rsidRPr="00A75F74">
        <w:t xml:space="preserve"> treba da osiguraju da se ovaj opšti komentar </w:t>
      </w:r>
      <w:r w:rsidR="00CE616F">
        <w:t>što više</w:t>
      </w:r>
      <w:r w:rsidR="00FC04ED" w:rsidRPr="00A75F74">
        <w:t xml:space="preserve"> širi, </w:t>
      </w:r>
      <w:r w:rsidR="007C2501">
        <w:t xml:space="preserve">što </w:t>
      </w:r>
      <w:r w:rsidR="00CE616F" w:rsidRPr="00A75F74">
        <w:t>uključuj</w:t>
      </w:r>
      <w:r w:rsidR="00FC04ED" w:rsidRPr="00A75F74">
        <w:t xml:space="preserve"> i upotrebu digitalnih tehnologija, </w:t>
      </w:r>
      <w:r w:rsidR="007C2501">
        <w:t xml:space="preserve">do </w:t>
      </w:r>
      <w:r w:rsidR="00FC04ED" w:rsidRPr="00A75F74">
        <w:t>svi</w:t>
      </w:r>
      <w:r w:rsidR="007C2501">
        <w:t>h</w:t>
      </w:r>
      <w:r w:rsidR="00FC04ED" w:rsidRPr="00A75F74">
        <w:t xml:space="preserve"> relevantni</w:t>
      </w:r>
      <w:r w:rsidR="007C2501">
        <w:t>h</w:t>
      </w:r>
      <w:r w:rsidR="00FC04ED" w:rsidRPr="00A75F74">
        <w:t xml:space="preserve"> zainteresovani</w:t>
      </w:r>
      <w:r w:rsidR="007C2501">
        <w:t>h</w:t>
      </w:r>
      <w:r w:rsidR="00FC04ED" w:rsidRPr="00A75F74">
        <w:t xml:space="preserve"> strana, posebno parlamen</w:t>
      </w:r>
      <w:r w:rsidR="007C2501">
        <w:t>a</w:t>
      </w:r>
      <w:r w:rsidR="00FC04ED" w:rsidRPr="00A75F74">
        <w:t xml:space="preserve">ta i </w:t>
      </w:r>
      <w:r w:rsidR="007C2501">
        <w:t>državnih</w:t>
      </w:r>
      <w:r w:rsidR="00FC04ED" w:rsidRPr="00A75F74">
        <w:t xml:space="preserve"> vlasti, </w:t>
      </w:r>
      <w:r w:rsidR="007C2501" w:rsidRPr="00A75F74">
        <w:t>uključujući</w:t>
      </w:r>
      <w:r w:rsidR="00FC04ED" w:rsidRPr="00A75F74">
        <w:t xml:space="preserve"> one odgovorne za </w:t>
      </w:r>
      <w:proofErr w:type="spellStart"/>
      <w:r w:rsidR="00FC04ED" w:rsidRPr="00A75F74">
        <w:t>međusektorsku</w:t>
      </w:r>
      <w:proofErr w:type="spellEnd"/>
      <w:r w:rsidR="00FC04ED" w:rsidRPr="00A75F74">
        <w:t xml:space="preserve"> i sektorsku digitalnu transformaciju, kao i </w:t>
      </w:r>
      <w:r w:rsidR="007C2501">
        <w:t>do pripadnika</w:t>
      </w:r>
      <w:r w:rsidR="00FC04ED" w:rsidRPr="00A75F74">
        <w:t xml:space="preserve"> pravosuđa, poslovnih </w:t>
      </w:r>
      <w:r w:rsidR="007C2501" w:rsidRPr="00A75F74">
        <w:t>preduzeća</w:t>
      </w:r>
      <w:r w:rsidR="00FC04ED" w:rsidRPr="00A75F74">
        <w:t xml:space="preserve">, medija, civilnog društva i šire javnosti, prosvetnih radnika i dece, </w:t>
      </w:r>
      <w:r w:rsidR="007C2501">
        <w:t>i da bude</w:t>
      </w:r>
      <w:r w:rsidR="00FC04ED" w:rsidRPr="00A75F74">
        <w:t xml:space="preserve"> dostupan u više formata i na </w:t>
      </w:r>
      <w:r w:rsidR="007C2501">
        <w:t xml:space="preserve">više </w:t>
      </w:r>
      <w:r w:rsidR="00FC04ED" w:rsidRPr="00A75F74">
        <w:t>jezi</w:t>
      </w:r>
      <w:r w:rsidR="007C2501">
        <w:t>ka</w:t>
      </w:r>
      <w:r w:rsidR="00FC04ED" w:rsidRPr="00A75F74">
        <w:t xml:space="preserve">, </w:t>
      </w:r>
      <w:r w:rsidR="007C2501" w:rsidRPr="00A75F74">
        <w:t>uključujući</w:t>
      </w:r>
      <w:r w:rsidR="007C2501">
        <w:t xml:space="preserve"> i</w:t>
      </w:r>
      <w:r w:rsidR="00FC04ED" w:rsidRPr="00A75F74">
        <w:t xml:space="preserve"> verzije prilagođene uzrastu</w:t>
      </w:r>
      <w:r w:rsidRPr="00A75F74">
        <w:t>.</w:t>
      </w:r>
    </w:p>
    <w:p w:rsidR="0021293B" w:rsidRPr="00A75F74" w:rsidRDefault="0021293B" w:rsidP="0021293B">
      <w:pPr>
        <w:spacing w:before="240"/>
        <w:jc w:val="center"/>
      </w:pPr>
      <w:r w:rsidRPr="00A75F74">
        <w:rPr>
          <w:u w:val="single"/>
        </w:rPr>
        <w:tab/>
      </w:r>
      <w:r w:rsidRPr="00A75F74">
        <w:rPr>
          <w:u w:val="single"/>
        </w:rPr>
        <w:tab/>
      </w:r>
      <w:r w:rsidRPr="00A75F74">
        <w:rPr>
          <w:u w:val="single"/>
        </w:rPr>
        <w:tab/>
      </w:r>
    </w:p>
    <w:p w:rsidR="0021293B" w:rsidRPr="00A75F74" w:rsidRDefault="0021293B" w:rsidP="00990575">
      <w:pPr>
        <w:pStyle w:val="SingleTxtG"/>
      </w:pPr>
    </w:p>
    <w:sectPr w:rsidR="0021293B" w:rsidRPr="00A75F74" w:rsidSect="0010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AE" w:rsidRDefault="00095CAE" w:rsidP="00957011">
      <w:pPr>
        <w:spacing w:line="240" w:lineRule="auto"/>
      </w:pPr>
      <w:r>
        <w:separator/>
      </w:r>
    </w:p>
  </w:endnote>
  <w:endnote w:type="continuationSeparator" w:id="0">
    <w:p w:rsidR="00095CAE" w:rsidRDefault="00095CAE" w:rsidP="00957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AE" w:rsidRDefault="00095CAE" w:rsidP="00957011">
      <w:pPr>
        <w:spacing w:line="240" w:lineRule="auto"/>
      </w:pPr>
      <w:r>
        <w:separator/>
      </w:r>
    </w:p>
  </w:footnote>
  <w:footnote w:type="continuationSeparator" w:id="0">
    <w:p w:rsidR="00095CAE" w:rsidRDefault="00095CAE" w:rsidP="00957011">
      <w:pPr>
        <w:spacing w:line="240" w:lineRule="auto"/>
      </w:pPr>
      <w:r>
        <w:continuationSeparator/>
      </w:r>
    </w:p>
  </w:footnote>
  <w:footnote w:id="1">
    <w:p w:rsidR="00F25F69" w:rsidRPr="00FF70B9" w:rsidRDefault="00F25F69" w:rsidP="001E610B">
      <w:pPr>
        <w:pStyle w:val="FootnoteText"/>
        <w:tabs>
          <w:tab w:val="clear" w:pos="1021"/>
        </w:tabs>
        <w:ind w:left="142" w:hanging="142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rPr>
          <w:iCs/>
        </w:rPr>
        <w:t>Ourrights</w:t>
      </w:r>
      <w:proofErr w:type="spellEnd"/>
      <w:r w:rsidRPr="00FF70B9">
        <w:rPr>
          <w:iCs/>
        </w:rPr>
        <w:t xml:space="preserve"> in a </w:t>
      </w:r>
      <w:proofErr w:type="spellStart"/>
      <w:r w:rsidRPr="00FF70B9">
        <w:rPr>
          <w:iCs/>
        </w:rPr>
        <w:t>digitalworld</w:t>
      </w:r>
      <w:proofErr w:type="spellEnd"/>
      <w:r w:rsidRPr="00FF70B9">
        <w:rPr>
          <w:iCs/>
        </w:rPr>
        <w:t xml:space="preserve">”,sumarni izveštaj o konsultovanju dece za ovaj opšti </w:t>
      </w:r>
      <w:proofErr w:type="spellStart"/>
      <w:r w:rsidRPr="00FF70B9">
        <w:rPr>
          <w:iCs/>
        </w:rPr>
        <w:t>komentar,</w:t>
      </w:r>
      <w:r w:rsidRPr="00FF70B9">
        <w:t>s</w:t>
      </w:r>
      <w:proofErr w:type="spellEnd"/>
      <w:r w:rsidRPr="00FF70B9">
        <w:t>. 14 i 22. Dostupno na</w:t>
      </w:r>
      <w:hyperlink r:id="rId1" w:history="1">
        <w:r w:rsidRPr="00FF70B9">
          <w:rPr>
            <w:rStyle w:val="Hyperlink"/>
          </w:rPr>
          <w:t>https://5rightsfoundation.com/uploads/Our%20Rights%20in%20a%20Digital%20World.pdf</w:t>
        </w:r>
      </w:hyperlink>
      <w:r w:rsidRPr="00FF70B9">
        <w:t>. Sva pozivanja na stavove dece odnose se na ovaj izveštaj.</w:t>
      </w:r>
    </w:p>
  </w:footnote>
  <w:footnote w:id="2">
    <w:p w:rsidR="001E610B" w:rsidRPr="00FF70B9" w:rsidRDefault="001E610B" w:rsidP="001E610B">
      <w:pPr>
        <w:pStyle w:val="FootnoteText"/>
        <w:tabs>
          <w:tab w:val="clear" w:pos="1021"/>
        </w:tabs>
        <w:ind w:left="142" w:hanging="142"/>
      </w:pPr>
      <w:r w:rsidRPr="00FF70B9">
        <w:rPr>
          <w:rStyle w:val="FootnoteReference"/>
        </w:rPr>
        <w:footnoteRef/>
      </w:r>
      <w:r w:rsidRPr="00FF70B9">
        <w:t xml:space="preserve">Glosar </w:t>
      </w:r>
      <w:proofErr w:type="spellStart"/>
      <w:r w:rsidRPr="00FF70B9">
        <w:t>tremonologije</w:t>
      </w:r>
      <w:proofErr w:type="spellEnd"/>
      <w:r w:rsidRPr="00FF70B9">
        <w:t xml:space="preserve"> dostupan je na </w:t>
      </w:r>
      <w:proofErr w:type="spellStart"/>
      <w:r w:rsidRPr="00FF70B9">
        <w:t>web</w:t>
      </w:r>
      <w:proofErr w:type="spellEnd"/>
      <w:r w:rsidRPr="00FF70B9">
        <w:t xml:space="preserve"> stranici </w:t>
      </w:r>
      <w:r w:rsidR="00A75F74" w:rsidRPr="00FF70B9">
        <w:t>Komiteta</w:t>
      </w:r>
      <w:r w:rsidRPr="00FF70B9">
        <w:t xml:space="preserve">: </w:t>
      </w:r>
      <w:hyperlink r:id="rId2" w:history="1">
        <w:r w:rsidRPr="00FF70B9">
          <w:rPr>
            <w:rStyle w:val="Hyperlink"/>
          </w:rPr>
          <w:t>https://tbinternet.ohchr.org/_layouts/15/treatybodyexternal/Download.aspx?symbolno=INT%2fCRC%2fINF%2f9314&amp;Lang=en</w:t>
        </w:r>
      </w:hyperlink>
    </w:p>
  </w:footnote>
  <w:footnote w:id="3">
    <w:p w:rsidR="00805039" w:rsidRPr="00FF70B9" w:rsidRDefault="00805039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t>Ourrights</w:t>
      </w:r>
      <w:proofErr w:type="spellEnd"/>
      <w:r w:rsidRPr="00FF70B9">
        <w:t xml:space="preserve"> in a </w:t>
      </w:r>
      <w:proofErr w:type="spellStart"/>
      <w:r w:rsidRPr="00FF70B9">
        <w:t>digitalworld</w:t>
      </w:r>
      <w:proofErr w:type="spellEnd"/>
      <w:r w:rsidRPr="00FF70B9">
        <w:t>”, s 14, 16, 22 i 25.</w:t>
      </w:r>
    </w:p>
  </w:footnote>
  <w:footnote w:id="4">
    <w:p w:rsidR="00FC173B" w:rsidRPr="00FF70B9" w:rsidRDefault="00FC173B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</w:t>
      </w:r>
      <w:proofErr w:type="spellStart"/>
      <w:r w:rsidRPr="00FF70B9">
        <w:t>komentarbr</w:t>
      </w:r>
      <w:proofErr w:type="spellEnd"/>
      <w:r w:rsidRPr="00FF70B9">
        <w:t>. 9 (2006), para. 37–38.</w:t>
      </w:r>
    </w:p>
  </w:footnote>
  <w:footnote w:id="5">
    <w:p w:rsidR="00657B89" w:rsidRPr="00FF70B9" w:rsidRDefault="00657B89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</w:t>
      </w:r>
      <w:proofErr w:type="spellStart"/>
      <w:r w:rsidRPr="00FF70B9">
        <w:t>komentarbr</w:t>
      </w:r>
      <w:proofErr w:type="spellEnd"/>
      <w:r w:rsidRPr="00FF70B9">
        <w:t>. 14 (2013), para. 1.</w:t>
      </w:r>
    </w:p>
  </w:footnote>
  <w:footnote w:id="6">
    <w:p w:rsidR="00095208" w:rsidRPr="00FF70B9" w:rsidRDefault="00095208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komentar br. </w:t>
      </w:r>
      <w:r w:rsidRPr="00FF70B9">
        <w:rPr>
          <w:bCs/>
        </w:rPr>
        <w:t>24 (2019)</w:t>
      </w:r>
      <w:r w:rsidRPr="00FF70B9">
        <w:t xml:space="preserve">, para. 22; </w:t>
      </w:r>
      <w:proofErr w:type="spellStart"/>
      <w:r w:rsidRPr="00FF70B9">
        <w:t>iOpšti</w:t>
      </w:r>
      <w:proofErr w:type="spellEnd"/>
      <w:r w:rsidRPr="00FF70B9">
        <w:t xml:space="preserve"> komentar br</w:t>
      </w:r>
      <w:r w:rsidRPr="00FF70B9">
        <w:rPr>
          <w:rFonts w:eastAsia="Malgun Gothic"/>
          <w:bCs/>
        </w:rPr>
        <w:t>. 20 (2016)</w:t>
      </w:r>
      <w:r w:rsidRPr="00FF70B9">
        <w:t>, para. 9–11.</w:t>
      </w:r>
    </w:p>
  </w:footnote>
  <w:footnote w:id="7">
    <w:p w:rsidR="00095208" w:rsidRPr="00FF70B9" w:rsidRDefault="00095208">
      <w:pPr>
        <w:pStyle w:val="FootnoteText"/>
      </w:pPr>
      <w:r w:rsidRPr="00FF70B9">
        <w:rPr>
          <w:rStyle w:val="FootnoteReference"/>
        </w:rPr>
        <w:footnoteRef/>
      </w:r>
      <w:proofErr w:type="spellStart"/>
      <w:r w:rsidRPr="00FF70B9">
        <w:rPr>
          <w:iCs/>
        </w:rPr>
        <w:t>Ourrights</w:t>
      </w:r>
      <w:proofErr w:type="spellEnd"/>
      <w:r w:rsidRPr="00FF70B9">
        <w:rPr>
          <w:iCs/>
        </w:rPr>
        <w:t xml:space="preserve"> in a </w:t>
      </w:r>
      <w:proofErr w:type="spellStart"/>
      <w:r w:rsidRPr="00FF70B9">
        <w:rPr>
          <w:iCs/>
        </w:rPr>
        <w:t>digitalworld</w:t>
      </w:r>
      <w:proofErr w:type="spellEnd"/>
      <w:r w:rsidRPr="00FF70B9">
        <w:rPr>
          <w:iCs/>
        </w:rPr>
        <w:t>”, s. 17</w:t>
      </w:r>
      <w:r w:rsidRPr="00FF70B9">
        <w:t>.</w:t>
      </w:r>
    </w:p>
  </w:footnote>
  <w:footnote w:id="8">
    <w:p w:rsidR="00095208" w:rsidRPr="00FF70B9" w:rsidRDefault="00095208" w:rsidP="00095208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14 (2013), para. 89–91.</w:t>
      </w:r>
    </w:p>
  </w:footnote>
  <w:footnote w:id="9">
    <w:p w:rsidR="006574EC" w:rsidRPr="00FF70B9" w:rsidRDefault="006574EC" w:rsidP="006574EC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komentar br. </w:t>
      </w:r>
      <w:r w:rsidRPr="00FF70B9">
        <w:rPr>
          <w:rFonts w:eastAsia="Malgun Gothic"/>
          <w:bCs/>
        </w:rPr>
        <w:t>7 (2005)</w:t>
      </w:r>
      <w:r w:rsidRPr="00FF70B9">
        <w:t xml:space="preserve">, para. 17; i Opšti komentar br. </w:t>
      </w:r>
      <w:r w:rsidRPr="00FF70B9">
        <w:rPr>
          <w:rFonts w:eastAsia="Malgun Gothic"/>
          <w:bCs/>
        </w:rPr>
        <w:t>20 (2016)</w:t>
      </w:r>
      <w:r w:rsidRPr="00FF70B9">
        <w:t>, para. 18 i 20.</w:t>
      </w:r>
    </w:p>
  </w:footnote>
  <w:footnote w:id="10">
    <w:p w:rsidR="006574EC" w:rsidRPr="00FF70B9" w:rsidRDefault="006574EC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20 (2016), para. 20.</w:t>
      </w:r>
    </w:p>
  </w:footnote>
  <w:footnote w:id="11">
    <w:p w:rsidR="006A20DF" w:rsidRPr="00FF70B9" w:rsidRDefault="006A20DF" w:rsidP="006A20DF">
      <w:pPr>
        <w:pStyle w:val="FootnoteText"/>
        <w:tabs>
          <w:tab w:val="clear" w:pos="1021"/>
        </w:tabs>
        <w:ind w:left="142" w:hanging="142"/>
      </w:pPr>
      <w:r w:rsidRPr="00FF70B9">
        <w:rPr>
          <w:rStyle w:val="FootnoteReference"/>
        </w:rPr>
        <w:footnoteRef/>
      </w:r>
      <w:r w:rsidRPr="00FF70B9">
        <w:t>Opšti komentar br.5 (</w:t>
      </w:r>
      <w:r w:rsidRPr="00FF70B9">
        <w:rPr>
          <w:rFonts w:eastAsia="Malgun Gothic"/>
          <w:bCs/>
        </w:rPr>
        <w:t>2003</w:t>
      </w:r>
      <w:r w:rsidRPr="00FF70B9">
        <w:t>), para. 45; Opšti komentar br. 14 (2013), para. 99; i Opšti komentar br. 16 (</w:t>
      </w:r>
      <w:r w:rsidRPr="00FF70B9">
        <w:rPr>
          <w:rFonts w:eastAsia="Malgun Gothic"/>
          <w:bCs/>
        </w:rPr>
        <w:t>2013</w:t>
      </w:r>
      <w:r w:rsidRPr="00FF70B9">
        <w:t>), para. 78–81</w:t>
      </w:r>
    </w:p>
  </w:footnote>
  <w:footnote w:id="12">
    <w:p w:rsidR="004D7B18" w:rsidRPr="00FF70B9" w:rsidRDefault="004D7B18" w:rsidP="004D7B18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br.5 (</w:t>
      </w:r>
      <w:r w:rsidRPr="00FF70B9">
        <w:rPr>
          <w:rFonts w:eastAsia="Malgun Gothic"/>
          <w:bCs/>
        </w:rPr>
        <w:t>2003</w:t>
      </w:r>
      <w:r w:rsidRPr="00FF70B9">
        <w:t>), para. 37.</w:t>
      </w:r>
    </w:p>
  </w:footnote>
  <w:footnote w:id="13">
    <w:p w:rsidR="00345344" w:rsidRPr="00FF70B9" w:rsidRDefault="00345344" w:rsidP="00635167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27 i 39.</w:t>
      </w:r>
    </w:p>
  </w:footnote>
  <w:footnote w:id="14">
    <w:p w:rsidR="00635167" w:rsidRPr="00FF70B9" w:rsidRDefault="00635167" w:rsidP="00635167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19 (</w:t>
      </w:r>
      <w:r w:rsidRPr="00FF70B9">
        <w:rPr>
          <w:rFonts w:eastAsia="Malgun Gothic"/>
          <w:bCs/>
        </w:rPr>
        <w:t>2016</w:t>
      </w:r>
      <w:r w:rsidRPr="00FF70B9">
        <w:t>), para. 21.</w:t>
      </w:r>
    </w:p>
  </w:footnote>
  <w:footnote w:id="15">
    <w:p w:rsidR="00635167" w:rsidRPr="00FF70B9" w:rsidRDefault="00635167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27 (b).</w:t>
      </w:r>
    </w:p>
  </w:footnote>
  <w:footnote w:id="16">
    <w:p w:rsidR="00635167" w:rsidRPr="00FF70B9" w:rsidRDefault="00635167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5 (</w:t>
      </w:r>
      <w:r w:rsidRPr="00FF70B9">
        <w:rPr>
          <w:rFonts w:eastAsia="Malgun Gothic"/>
          <w:bCs/>
        </w:rPr>
        <w:t>2003</w:t>
      </w:r>
      <w:r w:rsidRPr="00FF70B9">
        <w:t>), para. 48 i 50.</w:t>
      </w:r>
    </w:p>
  </w:footnote>
  <w:footnote w:id="17">
    <w:p w:rsidR="002C7678" w:rsidRPr="00FF70B9" w:rsidRDefault="002C7678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2 (2002), para. 2 i 7.</w:t>
      </w:r>
    </w:p>
  </w:footnote>
  <w:footnote w:id="18">
    <w:p w:rsidR="002C7678" w:rsidRPr="00FF70B9" w:rsidRDefault="002C7678">
      <w:pPr>
        <w:pStyle w:val="FootnoteText"/>
        <w:rPr>
          <w:b/>
          <w:bCs/>
        </w:rPr>
      </w:pPr>
      <w:r w:rsidRPr="00FF70B9">
        <w:rPr>
          <w:rStyle w:val="FootnoteReference"/>
        </w:rPr>
        <w:footnoteRef/>
      </w:r>
      <w:r w:rsidRPr="00FF70B9">
        <w:t>Isto, para. 7.</w:t>
      </w:r>
    </w:p>
  </w:footnote>
  <w:footnote w:id="19">
    <w:p w:rsidR="002C7678" w:rsidRPr="00FF70B9" w:rsidRDefault="002C7678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16 (</w:t>
      </w:r>
      <w:r w:rsidRPr="00FF70B9">
        <w:rPr>
          <w:rFonts w:eastAsia="Malgun Gothic"/>
          <w:bCs/>
        </w:rPr>
        <w:t>2013</w:t>
      </w:r>
      <w:r w:rsidRPr="00FF70B9">
        <w:t>), para. 28, 42 i 82.</w:t>
      </w:r>
    </w:p>
  </w:footnote>
  <w:footnote w:id="20">
    <w:p w:rsidR="00E90F33" w:rsidRPr="00FF70B9" w:rsidRDefault="00E90F33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60.</w:t>
      </w:r>
    </w:p>
  </w:footnote>
  <w:footnote w:id="21">
    <w:p w:rsidR="00E90F33" w:rsidRPr="00FF70B9" w:rsidRDefault="00E90F33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50 i 62-65.</w:t>
      </w:r>
    </w:p>
  </w:footnote>
  <w:footnote w:id="22">
    <w:p w:rsidR="00E90F33" w:rsidRPr="00FF70B9" w:rsidRDefault="00E90F33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 xml:space="preserve">Opšti </w:t>
      </w:r>
      <w:proofErr w:type="spellStart"/>
      <w:r w:rsidRPr="00FF70B9">
        <w:rPr>
          <w:szCs w:val="18"/>
        </w:rPr>
        <w:t>komentar</w:t>
      </w:r>
      <w:r w:rsidR="006649F7" w:rsidRPr="00FF70B9">
        <w:rPr>
          <w:lang w:eastAsia="de-DE"/>
        </w:rPr>
        <w:t>br</w:t>
      </w:r>
      <w:proofErr w:type="spellEnd"/>
      <w:r w:rsidRPr="00FF70B9">
        <w:rPr>
          <w:lang w:eastAsia="de-DE"/>
        </w:rPr>
        <w:t>. 21 (2017)</w:t>
      </w:r>
      <w:r w:rsidRPr="00FF70B9">
        <w:rPr>
          <w:szCs w:val="18"/>
        </w:rPr>
        <w:t xml:space="preserve">, para. 22. </w:t>
      </w:r>
      <w:r w:rsidR="006649F7" w:rsidRPr="00FF70B9">
        <w:rPr>
          <w:szCs w:val="18"/>
        </w:rPr>
        <w:t xml:space="preserve">Videti i </w:t>
      </w:r>
      <w:r w:rsidRPr="00FF70B9">
        <w:t>re</w:t>
      </w:r>
      <w:r w:rsidR="006649F7" w:rsidRPr="00FF70B9">
        <w:t>zoluciju</w:t>
      </w:r>
      <w:r w:rsidRPr="00FF70B9">
        <w:t xml:space="preserve"> 60/147</w:t>
      </w:r>
      <w:r w:rsidR="006649F7" w:rsidRPr="00FF70B9">
        <w:t xml:space="preserve"> Generalne skupštine,</w:t>
      </w:r>
      <w:r w:rsidRPr="00FF70B9">
        <w:t xml:space="preserve"> ane</w:t>
      </w:r>
      <w:r w:rsidR="006649F7" w:rsidRPr="00FF70B9">
        <w:t>ks.</w:t>
      </w:r>
    </w:p>
  </w:footnote>
  <w:footnote w:id="23">
    <w:p w:rsidR="006649F7" w:rsidRPr="00FF70B9" w:rsidRDefault="006649F7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t>5 (</w:t>
      </w:r>
      <w:r w:rsidRPr="00FF70B9">
        <w:rPr>
          <w:rFonts w:eastAsia="Malgun Gothic"/>
          <w:bCs/>
        </w:rPr>
        <w:t>2003</w:t>
      </w:r>
      <w:r w:rsidRPr="00FF70B9">
        <w:t>), para. 24.</w:t>
      </w:r>
    </w:p>
  </w:footnote>
  <w:footnote w:id="24">
    <w:p w:rsidR="0053664D" w:rsidRPr="00FF70B9" w:rsidRDefault="0053664D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t>16 (</w:t>
      </w:r>
      <w:r w:rsidRPr="00FF70B9">
        <w:rPr>
          <w:rFonts w:eastAsia="Malgun Gothic"/>
          <w:bCs/>
        </w:rPr>
        <w:t>2013</w:t>
      </w:r>
      <w:r w:rsidRPr="00FF70B9">
        <w:t>), para. 66–67.</w:t>
      </w:r>
    </w:p>
  </w:footnote>
  <w:footnote w:id="25">
    <w:p w:rsidR="00146CCD" w:rsidRPr="00FF70B9" w:rsidRDefault="00146CCD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30 i 43.</w:t>
      </w:r>
    </w:p>
  </w:footnote>
  <w:footnote w:id="26">
    <w:p w:rsidR="00146CCD" w:rsidRPr="00FF70B9" w:rsidRDefault="00146CCD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rPr>
          <w:rFonts w:eastAsia="Malgun Gothic"/>
          <w:bCs/>
        </w:rPr>
        <w:t>7 (2005)</w:t>
      </w:r>
      <w:r w:rsidRPr="00FF70B9">
        <w:t xml:space="preserve">, para. 35; </w:t>
      </w:r>
      <w:proofErr w:type="spellStart"/>
      <w:r w:rsidRPr="00FF70B9">
        <w:t>i</w:t>
      </w:r>
      <w:r w:rsidRPr="00FF70B9">
        <w:rPr>
          <w:szCs w:val="18"/>
        </w:rPr>
        <w:t>Opšti</w:t>
      </w:r>
      <w:proofErr w:type="spellEnd"/>
      <w:r w:rsidRPr="00FF70B9">
        <w:rPr>
          <w:szCs w:val="18"/>
        </w:rPr>
        <w:t xml:space="preserve"> komentar</w:t>
      </w:r>
      <w:r w:rsidRPr="00FF70B9">
        <w:rPr>
          <w:lang w:eastAsia="de-DE"/>
        </w:rPr>
        <w:t xml:space="preserve"> br.</w:t>
      </w:r>
      <w:r w:rsidRPr="00FF70B9">
        <w:t xml:space="preserve"> 20 (2016), para. 47.</w:t>
      </w:r>
    </w:p>
  </w:footnote>
  <w:footnote w:id="27">
    <w:p w:rsidR="00146CCD" w:rsidRPr="00FF70B9" w:rsidRDefault="00146CCD" w:rsidP="00146CCD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t xml:space="preserve">17 (2013), para. 46; </w:t>
      </w:r>
      <w:proofErr w:type="spellStart"/>
      <w:r w:rsidRPr="00FF70B9">
        <w:t>i</w:t>
      </w:r>
      <w:r w:rsidRPr="00FF70B9">
        <w:rPr>
          <w:szCs w:val="18"/>
        </w:rPr>
        <w:t>Opšti</w:t>
      </w:r>
      <w:proofErr w:type="spellEnd"/>
      <w:r w:rsidRPr="00FF70B9">
        <w:rPr>
          <w:szCs w:val="18"/>
        </w:rPr>
        <w:t xml:space="preserve"> komentar</w:t>
      </w:r>
      <w:r w:rsidRPr="00FF70B9">
        <w:rPr>
          <w:lang w:eastAsia="de-DE"/>
        </w:rPr>
        <w:t xml:space="preserve"> br. </w:t>
      </w:r>
      <w:r w:rsidRPr="00FF70B9">
        <w:t>20 (2016), para. 47–48.</w:t>
      </w:r>
    </w:p>
  </w:footnote>
  <w:footnote w:id="28">
    <w:p w:rsidR="00A06B40" w:rsidRPr="00FF70B9" w:rsidRDefault="00A06B40" w:rsidP="00A06B40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t xml:space="preserve"> 16 (</w:t>
      </w:r>
      <w:r w:rsidRPr="00FF70B9">
        <w:rPr>
          <w:rFonts w:eastAsia="Malgun Gothic"/>
          <w:bCs/>
        </w:rPr>
        <w:t>2013</w:t>
      </w:r>
      <w:r w:rsidRPr="00FF70B9">
        <w:t xml:space="preserve">), para. 58; </w:t>
      </w:r>
      <w:proofErr w:type="spellStart"/>
      <w:r w:rsidRPr="00FF70B9">
        <w:t>i</w:t>
      </w:r>
      <w:r w:rsidRPr="00FF70B9">
        <w:rPr>
          <w:szCs w:val="18"/>
        </w:rPr>
        <w:t>Opšti</w:t>
      </w:r>
      <w:proofErr w:type="spellEnd"/>
      <w:r w:rsidRPr="00FF70B9">
        <w:rPr>
          <w:szCs w:val="18"/>
        </w:rPr>
        <w:t xml:space="preserve"> komentar</w:t>
      </w:r>
      <w:r w:rsidRPr="00FF70B9">
        <w:rPr>
          <w:lang w:eastAsia="de-DE"/>
        </w:rPr>
        <w:t xml:space="preserve"> br. </w:t>
      </w:r>
      <w:r w:rsidRPr="00FF70B9">
        <w:rPr>
          <w:rFonts w:eastAsia="Malgun Gothic"/>
          <w:bCs/>
        </w:rPr>
        <w:t>7 (2005)</w:t>
      </w:r>
      <w:r w:rsidRPr="00FF70B9">
        <w:t>, para. 35.</w:t>
      </w:r>
    </w:p>
  </w:footnote>
  <w:footnote w:id="29">
    <w:p w:rsidR="00A06B40" w:rsidRPr="00FF70B9" w:rsidRDefault="00A06B40">
      <w:pPr>
        <w:pStyle w:val="FootnoteText"/>
        <w:rPr>
          <w:b/>
          <w:bCs/>
        </w:rPr>
      </w:pPr>
      <w:r w:rsidRPr="00FF70B9">
        <w:rPr>
          <w:rStyle w:val="FootnoteReference"/>
        </w:rPr>
        <w:footnoteRef/>
      </w:r>
      <w:r w:rsidRPr="00FF70B9">
        <w:t xml:space="preserve">Komitet za ljudska prava, </w:t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 </w:t>
      </w:r>
      <w:r w:rsidRPr="00FF70B9">
        <w:t>34 (2011), para. 43.</w:t>
      </w:r>
    </w:p>
  </w:footnote>
  <w:footnote w:id="30">
    <w:p w:rsidR="0009514F" w:rsidRPr="00FF70B9" w:rsidRDefault="0009514F">
      <w:pPr>
        <w:pStyle w:val="FootnoteText"/>
      </w:pPr>
      <w:r w:rsidRPr="00FF70B9">
        <w:rPr>
          <w:rStyle w:val="FootnoteReference"/>
        </w:rPr>
        <w:footnoteRef/>
      </w:r>
      <w:r w:rsidR="00A315DC" w:rsidRPr="00FF70B9">
        <w:rPr>
          <w:szCs w:val="18"/>
        </w:rPr>
        <w:t>Opšti komentar</w:t>
      </w:r>
      <w:r w:rsidR="00A315DC" w:rsidRPr="00FF70B9">
        <w:rPr>
          <w:lang w:eastAsia="de-DE"/>
        </w:rPr>
        <w:t xml:space="preserve"> br. </w:t>
      </w:r>
      <w:r w:rsidRPr="00FF70B9">
        <w:t>16 (</w:t>
      </w:r>
      <w:r w:rsidRPr="00FF70B9">
        <w:rPr>
          <w:rFonts w:eastAsia="Malgun Gothic"/>
          <w:bCs/>
        </w:rPr>
        <w:t>2013</w:t>
      </w:r>
      <w:r w:rsidRPr="00FF70B9">
        <w:t xml:space="preserve">), para. 19 </w:t>
      </w:r>
      <w:r w:rsidR="00A315DC" w:rsidRPr="00FF70B9">
        <w:t>i</w:t>
      </w:r>
      <w:r w:rsidRPr="00FF70B9">
        <w:t xml:space="preserve"> 59.</w:t>
      </w:r>
    </w:p>
  </w:footnote>
  <w:footnote w:id="31">
    <w:p w:rsidR="00A315DC" w:rsidRPr="00FF70B9" w:rsidRDefault="00A315DC" w:rsidP="00A315DC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58 i 61.</w:t>
      </w:r>
    </w:p>
  </w:footnote>
  <w:footnote w:id="32">
    <w:p w:rsidR="00A315DC" w:rsidRPr="00FF70B9" w:rsidRDefault="00A315DC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rPr>
          <w:iCs/>
        </w:rPr>
        <w:t>Ourrights</w:t>
      </w:r>
      <w:proofErr w:type="spellEnd"/>
      <w:r w:rsidRPr="00FF70B9">
        <w:rPr>
          <w:iCs/>
        </w:rPr>
        <w:t xml:space="preserve"> in a </w:t>
      </w:r>
      <w:proofErr w:type="spellStart"/>
      <w:r w:rsidRPr="00FF70B9">
        <w:rPr>
          <w:iCs/>
        </w:rPr>
        <w:t>digitalworld</w:t>
      </w:r>
      <w:proofErr w:type="spellEnd"/>
      <w:r w:rsidRPr="00FF70B9">
        <w:rPr>
          <w:iCs/>
        </w:rPr>
        <w:t>”, s. 16</w:t>
      </w:r>
      <w:r w:rsidRPr="00FF70B9">
        <w:t>.</w:t>
      </w:r>
    </w:p>
  </w:footnote>
  <w:footnote w:id="33">
    <w:p w:rsidR="007F0013" w:rsidRPr="00FF70B9" w:rsidRDefault="007F0013">
      <w:pPr>
        <w:pStyle w:val="FootnoteText"/>
      </w:pPr>
      <w:r w:rsidRPr="00FF70B9">
        <w:rPr>
          <w:rStyle w:val="FootnoteReference"/>
        </w:rPr>
        <w:footnoteRef/>
      </w:r>
      <w:r w:rsidRPr="00FF70B9">
        <w:rPr>
          <w:szCs w:val="18"/>
        </w:rPr>
        <w:t>Opšti komentar</w:t>
      </w:r>
      <w:r w:rsidRPr="00FF70B9">
        <w:rPr>
          <w:lang w:eastAsia="de-DE"/>
        </w:rPr>
        <w:t xml:space="preserve"> br.</w:t>
      </w:r>
      <w:r w:rsidRPr="00FF70B9">
        <w:t xml:space="preserve"> 17 (2013), para. 21; </w:t>
      </w:r>
      <w:proofErr w:type="spellStart"/>
      <w:r w:rsidRPr="00FF70B9">
        <w:t>i</w:t>
      </w:r>
      <w:r w:rsidRPr="00FF70B9">
        <w:rPr>
          <w:szCs w:val="18"/>
        </w:rPr>
        <w:t>Opšti</w:t>
      </w:r>
      <w:proofErr w:type="spellEnd"/>
      <w:r w:rsidRPr="00FF70B9">
        <w:rPr>
          <w:szCs w:val="18"/>
        </w:rPr>
        <w:t xml:space="preserve"> komentar</w:t>
      </w:r>
      <w:r w:rsidRPr="00FF70B9">
        <w:rPr>
          <w:lang w:eastAsia="de-DE"/>
        </w:rPr>
        <w:t xml:space="preserve"> br. </w:t>
      </w:r>
      <w:r w:rsidRPr="00FF70B9">
        <w:t>20 (2016), para. 44–45.</w:t>
      </w:r>
    </w:p>
  </w:footnote>
  <w:footnote w:id="34">
    <w:p w:rsidR="007F0013" w:rsidRPr="00FF70B9" w:rsidRDefault="007F0013" w:rsidP="007F0013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rPr>
          <w:iCs/>
        </w:rPr>
        <w:t>Ourrights</w:t>
      </w:r>
      <w:proofErr w:type="spellEnd"/>
      <w:r w:rsidRPr="00FF70B9">
        <w:rPr>
          <w:iCs/>
        </w:rPr>
        <w:t xml:space="preserve"> in a </w:t>
      </w:r>
      <w:proofErr w:type="spellStart"/>
      <w:r w:rsidRPr="00FF70B9">
        <w:rPr>
          <w:iCs/>
        </w:rPr>
        <w:t>digitalworld</w:t>
      </w:r>
      <w:proofErr w:type="spellEnd"/>
      <w:r w:rsidRPr="00FF70B9">
        <w:rPr>
          <w:iCs/>
        </w:rPr>
        <w:t>”, s. 20</w:t>
      </w:r>
      <w:r w:rsidRPr="00FF70B9">
        <w:t>.</w:t>
      </w:r>
    </w:p>
  </w:footnote>
  <w:footnote w:id="35">
    <w:p w:rsidR="00864FFA" w:rsidRPr="00FF70B9" w:rsidRDefault="00864FFA" w:rsidP="00864FFA">
      <w:pPr>
        <w:pStyle w:val="FootnoteText"/>
      </w:pPr>
      <w:r w:rsidRPr="00FF70B9">
        <w:rPr>
          <w:rStyle w:val="FootnoteReference"/>
        </w:rPr>
        <w:footnoteRef/>
      </w:r>
      <w:r w:rsidRPr="00FF70B9">
        <w:t>Komitet za ljudska prava, Opšti komentar br. 37 (2020)</w:t>
      </w:r>
      <w:r w:rsidRPr="00FF70B9">
        <w:rPr>
          <w:rFonts w:eastAsiaTheme="minorEastAsia"/>
        </w:rPr>
        <w:t>, para. 6 i 34.</w:t>
      </w:r>
    </w:p>
  </w:footnote>
  <w:footnote w:id="36">
    <w:p w:rsidR="00F16666" w:rsidRPr="00FF70B9" w:rsidRDefault="00F16666">
      <w:pPr>
        <w:pStyle w:val="FootnoteText"/>
      </w:pPr>
      <w:r w:rsidRPr="00FF70B9">
        <w:rPr>
          <w:rStyle w:val="FootnoteReference"/>
        </w:rPr>
        <w:footnoteRef/>
      </w:r>
      <w:r w:rsidRPr="00FF70B9">
        <w:t>Komitet za ljudska prava, Opšti komentar br. 16 (1988), para. 10.</w:t>
      </w:r>
    </w:p>
  </w:footnote>
  <w:footnote w:id="37">
    <w:p w:rsidR="00F16666" w:rsidRPr="00FF70B9" w:rsidRDefault="00F16666">
      <w:pPr>
        <w:pStyle w:val="FootnoteText"/>
      </w:pPr>
      <w:r w:rsidRPr="00FF70B9">
        <w:rPr>
          <w:rStyle w:val="FootnoteReference"/>
        </w:rPr>
        <w:footnoteRef/>
      </w:r>
      <w:r w:rsidRPr="00FF70B9">
        <w:t>Isto; takođe, Komitet za prava deteta, Opšti komentar br. 20 (2016), para. 46.</w:t>
      </w:r>
    </w:p>
  </w:footnote>
  <w:footnote w:id="38">
    <w:p w:rsidR="00F31FCE" w:rsidRPr="00FF70B9" w:rsidRDefault="00F31FCE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20 (2016), para. 60.</w:t>
      </w:r>
    </w:p>
  </w:footnote>
  <w:footnote w:id="39">
    <w:p w:rsidR="005F158A" w:rsidRPr="00FF70B9" w:rsidRDefault="005F158A" w:rsidP="005F158A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komentar br. 24 (2019), para. 101; </w:t>
      </w:r>
      <w:proofErr w:type="spellStart"/>
      <w:r w:rsidRPr="00FF70B9">
        <w:t>takođeCRC</w:t>
      </w:r>
      <w:proofErr w:type="spellEnd"/>
      <w:r w:rsidRPr="00FF70B9">
        <w:t>/C/156, para. 71.</w:t>
      </w:r>
    </w:p>
  </w:footnote>
  <w:footnote w:id="40">
    <w:p w:rsidR="007D20D2" w:rsidRPr="00FF70B9" w:rsidRDefault="007D20D2" w:rsidP="007D20D2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t>Ourrights</w:t>
      </w:r>
      <w:proofErr w:type="spellEnd"/>
      <w:r w:rsidRPr="00FF70B9">
        <w:t xml:space="preserve"> in a </w:t>
      </w:r>
      <w:proofErr w:type="spellStart"/>
      <w:r w:rsidRPr="00FF70B9">
        <w:t>digitalworld</w:t>
      </w:r>
      <w:proofErr w:type="spellEnd"/>
      <w:r w:rsidRPr="00FF70B9">
        <w:t>”, s. 30.</w:t>
      </w:r>
    </w:p>
  </w:footnote>
  <w:footnote w:id="41">
    <w:p w:rsidR="005439AC" w:rsidRPr="00FF70B9" w:rsidRDefault="005439AC" w:rsidP="005439AC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21 (2017), para. 35.</w:t>
      </w:r>
    </w:p>
    <w:p w:rsidR="005439AC" w:rsidRPr="00FF70B9" w:rsidRDefault="005439AC">
      <w:pPr>
        <w:pStyle w:val="FootnoteText"/>
      </w:pPr>
    </w:p>
  </w:footnote>
  <w:footnote w:id="42">
    <w:p w:rsidR="00DB5FD1" w:rsidRPr="00FF70B9" w:rsidRDefault="00DB5FD1" w:rsidP="00DB5FD1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t>Ourrights</w:t>
      </w:r>
      <w:proofErr w:type="spellEnd"/>
      <w:r w:rsidRPr="00FF70B9">
        <w:t xml:space="preserve"> in a </w:t>
      </w:r>
      <w:proofErr w:type="spellStart"/>
      <w:r w:rsidRPr="00FF70B9">
        <w:t>digitalworld</w:t>
      </w:r>
      <w:proofErr w:type="spellEnd"/>
      <w:r w:rsidRPr="00FF70B9">
        <w:t>”, s. 37.</w:t>
      </w:r>
    </w:p>
  </w:footnote>
  <w:footnote w:id="43">
    <w:p w:rsidR="00DB5FD1" w:rsidRPr="00FF70B9" w:rsidRDefault="00DB5FD1" w:rsidP="00DB5FD1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20 (2016), para. 59.</w:t>
      </w:r>
    </w:p>
  </w:footnote>
  <w:footnote w:id="44">
    <w:p w:rsidR="00DB5FD1" w:rsidRPr="00FF70B9" w:rsidRDefault="00DB5FD1" w:rsidP="00DB5FD1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para. 47 i 59.</w:t>
      </w:r>
    </w:p>
  </w:footnote>
  <w:footnote w:id="45">
    <w:p w:rsidR="00E866A5" w:rsidRPr="00FF70B9" w:rsidRDefault="00E866A5">
      <w:pPr>
        <w:pStyle w:val="FootnoteText"/>
      </w:pPr>
      <w:r w:rsidRPr="00FF70B9">
        <w:rPr>
          <w:rStyle w:val="FootnoteReference"/>
        </w:rPr>
        <w:footnoteRef/>
      </w:r>
      <w:r w:rsidRPr="00FF70B9">
        <w:t>Isto, para 47-48.</w:t>
      </w:r>
    </w:p>
  </w:footnote>
  <w:footnote w:id="46">
    <w:p w:rsidR="00E866A5" w:rsidRPr="00FF70B9" w:rsidRDefault="00E866A5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komentar br. </w:t>
      </w:r>
      <w:r w:rsidRPr="00FF70B9">
        <w:rPr>
          <w:rFonts w:eastAsia="Malgun Gothic"/>
          <w:bCs/>
        </w:rPr>
        <w:t>15 (2013)</w:t>
      </w:r>
      <w:r w:rsidRPr="00FF70B9">
        <w:t>, para. 84.</w:t>
      </w:r>
    </w:p>
  </w:footnote>
  <w:footnote w:id="47">
    <w:p w:rsidR="00E866A5" w:rsidRPr="00FF70B9" w:rsidRDefault="00E866A5" w:rsidP="00E866A5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17 (2013), para. 13.</w:t>
      </w:r>
    </w:p>
  </w:footnote>
  <w:footnote w:id="48">
    <w:p w:rsidR="006F0281" w:rsidRPr="00FF70B9" w:rsidRDefault="006F0281" w:rsidP="006F0281">
      <w:pPr>
        <w:pStyle w:val="FootnoteText"/>
      </w:pPr>
      <w:r w:rsidRPr="00FF70B9">
        <w:rPr>
          <w:rStyle w:val="FootnoteReference"/>
        </w:rPr>
        <w:footnoteRef/>
      </w:r>
      <w:r w:rsidRPr="00FF70B9">
        <w:t xml:space="preserve">Opšti komentar br. </w:t>
      </w:r>
      <w:r w:rsidRPr="00FF70B9">
        <w:rPr>
          <w:rFonts w:eastAsia="Malgun Gothic"/>
          <w:bCs/>
        </w:rPr>
        <w:t>15 (2013)</w:t>
      </w:r>
      <w:r w:rsidRPr="00FF70B9">
        <w:t>, para. 77.</w:t>
      </w:r>
    </w:p>
  </w:footnote>
  <w:footnote w:id="49">
    <w:p w:rsidR="00DC7825" w:rsidRPr="00FF70B9" w:rsidRDefault="00DC7825">
      <w:pPr>
        <w:pStyle w:val="FootnoteText"/>
      </w:pPr>
      <w:r w:rsidRPr="00FF70B9">
        <w:rPr>
          <w:rStyle w:val="FootnoteReference"/>
        </w:rPr>
        <w:footnoteRef/>
      </w:r>
      <w:r w:rsidRPr="00FF70B9">
        <w:t>“</w:t>
      </w:r>
      <w:proofErr w:type="spellStart"/>
      <w:r w:rsidRPr="00FF70B9">
        <w:t>Ourrights</w:t>
      </w:r>
      <w:proofErr w:type="spellEnd"/>
      <w:r w:rsidRPr="00FF70B9">
        <w:t xml:space="preserve"> in a </w:t>
      </w:r>
      <w:proofErr w:type="spellStart"/>
      <w:r w:rsidRPr="00FF70B9">
        <w:t>digitalworld</w:t>
      </w:r>
      <w:proofErr w:type="spellEnd"/>
      <w:r w:rsidRPr="00FF70B9">
        <w:t>”, s. 14, 16 i 30.</w:t>
      </w:r>
    </w:p>
  </w:footnote>
  <w:footnote w:id="50">
    <w:p w:rsidR="00DC7825" w:rsidRPr="00FF70B9" w:rsidRDefault="00DC7825">
      <w:pPr>
        <w:pStyle w:val="FootnoteText"/>
      </w:pPr>
      <w:r w:rsidRPr="00FF70B9">
        <w:rPr>
          <w:rStyle w:val="FootnoteReference"/>
        </w:rPr>
        <w:footnoteRef/>
      </w:r>
      <w:r w:rsidRPr="00FF70B9">
        <w:t>Opšti komentar br. 17 (2013), para. 10.</w:t>
      </w:r>
    </w:p>
  </w:footnote>
  <w:footnote w:id="51">
    <w:p w:rsidR="00DC7825" w:rsidRPr="00FF70B9" w:rsidRDefault="00DC7825" w:rsidP="00DC7825">
      <w:pPr>
        <w:pStyle w:val="FootnoteText"/>
        <w:ind w:left="142" w:hanging="142"/>
      </w:pPr>
      <w:r w:rsidRPr="00FF70B9">
        <w:rPr>
          <w:rStyle w:val="FootnoteReference"/>
        </w:rPr>
        <w:footnoteRef/>
      </w:r>
      <w:r w:rsidR="00FF70B9" w:rsidRPr="00FF70B9">
        <w:t>Zajednička</w:t>
      </w:r>
      <w:r w:rsidRPr="00FF70B9">
        <w:t xml:space="preserve"> opšta preporuka br. 31 Komiteta za </w:t>
      </w:r>
      <w:r w:rsidR="00FF70B9" w:rsidRPr="00FF70B9">
        <w:t>ukidanje diskriminacije prema ženama/Opšti komentar br</w:t>
      </w:r>
      <w:r w:rsidRPr="00FF70B9">
        <w:t xml:space="preserve">. 18 </w:t>
      </w:r>
      <w:r w:rsidR="00FF70B9" w:rsidRPr="00FF70B9">
        <w:t>Komiteta za prava deteta</w:t>
      </w:r>
      <w:r w:rsidRPr="00FF70B9">
        <w:t xml:space="preserve"> (2019), para. 64; </w:t>
      </w:r>
      <w:r w:rsidR="00FF70B9" w:rsidRPr="00FF70B9">
        <w:t>takođe Komitet za prava deteta, Opšti komentar br</w:t>
      </w:r>
      <w:r w:rsidRPr="00FF70B9">
        <w:rPr>
          <w:rFonts w:eastAsia="Malgun Gothic"/>
          <w:bCs/>
        </w:rPr>
        <w:t>. 11 (2009)</w:t>
      </w:r>
      <w:r w:rsidRPr="00FF70B9">
        <w:t xml:space="preserve">, para. 61; </w:t>
      </w:r>
      <w:r w:rsidR="00FF70B9" w:rsidRPr="00FF70B9">
        <w:t xml:space="preserve">kao </w:t>
      </w:r>
      <w:proofErr w:type="spellStart"/>
      <w:r w:rsidR="00FF70B9" w:rsidRPr="00FF70B9">
        <w:t>i</w:t>
      </w:r>
      <w:r w:rsidR="00FF70B9" w:rsidRPr="00FF70B9">
        <w:rPr>
          <w:lang w:eastAsia="de-DE"/>
        </w:rPr>
        <w:t>Opšti</w:t>
      </w:r>
      <w:proofErr w:type="spellEnd"/>
      <w:r w:rsidR="00FF70B9" w:rsidRPr="00FF70B9">
        <w:rPr>
          <w:lang w:eastAsia="de-DE"/>
        </w:rPr>
        <w:t xml:space="preserve"> komentar br</w:t>
      </w:r>
      <w:r w:rsidRPr="00FF70B9">
        <w:rPr>
          <w:lang w:eastAsia="de-DE"/>
        </w:rPr>
        <w:t>. 21 (2017)</w:t>
      </w:r>
      <w:r w:rsidRPr="00FF70B9">
        <w:t>, para. 55.</w:t>
      </w:r>
    </w:p>
  </w:footnote>
  <w:footnote w:id="52">
    <w:p w:rsidR="003C4C4D" w:rsidRPr="003C4C4D" w:rsidRDefault="003C4C4D" w:rsidP="003C4C4D">
      <w:pPr>
        <w:pStyle w:val="FootnoteText"/>
      </w:pPr>
      <w:r>
        <w:rPr>
          <w:rStyle w:val="FootnoteReference"/>
        </w:rPr>
        <w:footnoteRef/>
      </w:r>
      <w:r w:rsidRPr="00FF70B9">
        <w:t xml:space="preserve">Opšti komentar br. </w:t>
      </w:r>
      <w:r w:rsidRPr="009729E2">
        <w:t>20 (2016), para. 47.</w:t>
      </w:r>
    </w:p>
  </w:footnote>
  <w:footnote w:id="53">
    <w:p w:rsidR="002423A3" w:rsidRPr="002423A3" w:rsidRDefault="002423A3">
      <w:pPr>
        <w:pStyle w:val="FootnoteText"/>
      </w:pPr>
      <w:r>
        <w:rPr>
          <w:rStyle w:val="FootnoteReference"/>
        </w:rPr>
        <w:footnoteRef/>
      </w:r>
      <w:r w:rsidRPr="00FF70B9">
        <w:t>Opšti komentar br</w:t>
      </w:r>
      <w:r>
        <w:t>.17</w:t>
      </w:r>
      <w:r w:rsidRPr="009729E2">
        <w:t xml:space="preserve"> (201</w:t>
      </w:r>
      <w:r>
        <w:t>3</w:t>
      </w:r>
      <w:r w:rsidRPr="009729E2">
        <w:t>), para. 7.</w:t>
      </w:r>
    </w:p>
  </w:footnote>
  <w:footnote w:id="54">
    <w:p w:rsidR="004708AE" w:rsidRPr="004708AE" w:rsidRDefault="004708AE">
      <w:pPr>
        <w:pStyle w:val="FootnoteText"/>
      </w:pPr>
      <w:r>
        <w:rPr>
          <w:rStyle w:val="FootnoteReference"/>
        </w:rPr>
        <w:footnoteRef/>
      </w:r>
      <w:r w:rsidRPr="00413D9F">
        <w:t>“</w:t>
      </w:r>
      <w:proofErr w:type="spellStart"/>
      <w:r w:rsidRPr="00413D9F">
        <w:rPr>
          <w:iCs/>
        </w:rPr>
        <w:t>Our</w:t>
      </w:r>
      <w:proofErr w:type="spellEnd"/>
      <w:r w:rsidRPr="00413D9F">
        <w:rPr>
          <w:iCs/>
        </w:rPr>
        <w:t xml:space="preserve"> </w:t>
      </w:r>
      <w:proofErr w:type="spellStart"/>
      <w:r w:rsidRPr="00413D9F">
        <w:rPr>
          <w:iCs/>
        </w:rPr>
        <w:t>rights</w:t>
      </w:r>
      <w:proofErr w:type="spellEnd"/>
      <w:r w:rsidRPr="00413D9F">
        <w:rPr>
          <w:iCs/>
        </w:rPr>
        <w:t xml:space="preserve"> in a </w:t>
      </w:r>
      <w:proofErr w:type="spellStart"/>
      <w:r w:rsidRPr="00413D9F">
        <w:rPr>
          <w:iCs/>
        </w:rPr>
        <w:t>digital</w:t>
      </w:r>
      <w:proofErr w:type="spellEnd"/>
      <w:r w:rsidRPr="00413D9F">
        <w:rPr>
          <w:iCs/>
        </w:rPr>
        <w:t xml:space="preserve"> </w:t>
      </w:r>
      <w:proofErr w:type="spellStart"/>
      <w:r w:rsidRPr="00413D9F">
        <w:rPr>
          <w:iCs/>
        </w:rPr>
        <w:t>world</w:t>
      </w:r>
      <w:proofErr w:type="spellEnd"/>
      <w:r w:rsidRPr="00413D9F">
        <w:rPr>
          <w:iCs/>
        </w:rPr>
        <w:t xml:space="preserve">”, </w:t>
      </w:r>
      <w:r>
        <w:rPr>
          <w:iCs/>
        </w:rPr>
        <w:t>s</w:t>
      </w:r>
      <w:r w:rsidRPr="00413D9F">
        <w:rPr>
          <w:iCs/>
        </w:rPr>
        <w:t>. 22</w:t>
      </w:r>
      <w:r w:rsidRPr="00413D9F">
        <w:t>.</w:t>
      </w:r>
    </w:p>
  </w:footnote>
  <w:footnote w:id="55">
    <w:p w:rsidR="002423A3" w:rsidRPr="002423A3" w:rsidRDefault="002423A3">
      <w:pPr>
        <w:pStyle w:val="FootnoteText"/>
      </w:pPr>
      <w:r>
        <w:rPr>
          <w:rStyle w:val="FootnoteReference"/>
        </w:rPr>
        <w:footnoteRef/>
      </w:r>
      <w:r w:rsidR="004708AE" w:rsidRPr="00FF70B9">
        <w:t>Opšti komentar br</w:t>
      </w:r>
      <w:r w:rsidR="004708AE">
        <w:t>.17</w:t>
      </w:r>
      <w:r w:rsidR="004708AE" w:rsidRPr="0031198B">
        <w:rPr>
          <w:lang w:val="es-ES"/>
        </w:rPr>
        <w:t>(2013), para. 33.</w:t>
      </w:r>
    </w:p>
  </w:footnote>
  <w:footnote w:id="56">
    <w:p w:rsidR="002423A3" w:rsidRPr="002423A3" w:rsidRDefault="002423A3">
      <w:pPr>
        <w:pStyle w:val="FootnoteText"/>
      </w:pPr>
      <w:r>
        <w:rPr>
          <w:rStyle w:val="FootnoteReference"/>
        </w:rPr>
        <w:footnoteRef/>
      </w:r>
      <w:r w:rsidR="004708AE">
        <w:t>Isto, para. 5.</w:t>
      </w:r>
    </w:p>
  </w:footnote>
  <w:footnote w:id="57">
    <w:p w:rsidR="004708AE" w:rsidRPr="004708AE" w:rsidRDefault="004708AE">
      <w:pPr>
        <w:pStyle w:val="FootnoteText"/>
      </w:pPr>
      <w:r>
        <w:rPr>
          <w:rStyle w:val="FootnoteReference"/>
        </w:rPr>
        <w:footnoteRef/>
      </w:r>
      <w:r>
        <w:t>Opšti komentar br</w:t>
      </w:r>
      <w:r w:rsidRPr="009729E2">
        <w:t>. 16 (</w:t>
      </w:r>
      <w:r w:rsidRPr="00413D9F">
        <w:rPr>
          <w:rFonts w:eastAsia="Malgun Gothic"/>
          <w:bCs/>
        </w:rPr>
        <w:t>2013</w:t>
      </w:r>
      <w:r w:rsidRPr="00413D9F">
        <w:t>), para. 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53"/>
    <w:rsid w:val="000072FE"/>
    <w:rsid w:val="00013A7E"/>
    <w:rsid w:val="00016BC1"/>
    <w:rsid w:val="00021B59"/>
    <w:rsid w:val="00023CEC"/>
    <w:rsid w:val="0003756E"/>
    <w:rsid w:val="00042B73"/>
    <w:rsid w:val="00043D47"/>
    <w:rsid w:val="000472FE"/>
    <w:rsid w:val="000579E4"/>
    <w:rsid w:val="00077225"/>
    <w:rsid w:val="000772B7"/>
    <w:rsid w:val="00081B9E"/>
    <w:rsid w:val="000927BB"/>
    <w:rsid w:val="00092DFF"/>
    <w:rsid w:val="0009514F"/>
    <w:rsid w:val="00095208"/>
    <w:rsid w:val="00095CAE"/>
    <w:rsid w:val="000B03B2"/>
    <w:rsid w:val="000C56FB"/>
    <w:rsid w:val="000D2B5D"/>
    <w:rsid w:val="000D4767"/>
    <w:rsid w:val="000E1BCF"/>
    <w:rsid w:val="000E2006"/>
    <w:rsid w:val="000E7B1A"/>
    <w:rsid w:val="000F2DB7"/>
    <w:rsid w:val="001049D0"/>
    <w:rsid w:val="00137473"/>
    <w:rsid w:val="00146CCD"/>
    <w:rsid w:val="001502F0"/>
    <w:rsid w:val="00194B95"/>
    <w:rsid w:val="001A54CB"/>
    <w:rsid w:val="001C417D"/>
    <w:rsid w:val="001C6D23"/>
    <w:rsid w:val="001E4039"/>
    <w:rsid w:val="001E610B"/>
    <w:rsid w:val="001F09DB"/>
    <w:rsid w:val="00206560"/>
    <w:rsid w:val="002103F2"/>
    <w:rsid w:val="002125A4"/>
    <w:rsid w:val="0021293B"/>
    <w:rsid w:val="002176BD"/>
    <w:rsid w:val="00220EBF"/>
    <w:rsid w:val="0024205C"/>
    <w:rsid w:val="002423A3"/>
    <w:rsid w:val="00243C2B"/>
    <w:rsid w:val="00243C62"/>
    <w:rsid w:val="00243F5A"/>
    <w:rsid w:val="00257E2E"/>
    <w:rsid w:val="00265A0B"/>
    <w:rsid w:val="00270850"/>
    <w:rsid w:val="00277571"/>
    <w:rsid w:val="00292BB2"/>
    <w:rsid w:val="002A0A2E"/>
    <w:rsid w:val="002A4730"/>
    <w:rsid w:val="002C1BC5"/>
    <w:rsid w:val="002C2A20"/>
    <w:rsid w:val="002C56CC"/>
    <w:rsid w:val="002C7678"/>
    <w:rsid w:val="002C7EE7"/>
    <w:rsid w:val="002F202F"/>
    <w:rsid w:val="003138D1"/>
    <w:rsid w:val="003240C0"/>
    <w:rsid w:val="00336105"/>
    <w:rsid w:val="00340787"/>
    <w:rsid w:val="00341607"/>
    <w:rsid w:val="00345344"/>
    <w:rsid w:val="003734A9"/>
    <w:rsid w:val="00387C24"/>
    <w:rsid w:val="00395ECE"/>
    <w:rsid w:val="003B2064"/>
    <w:rsid w:val="003C4C4D"/>
    <w:rsid w:val="003D5546"/>
    <w:rsid w:val="003F02EA"/>
    <w:rsid w:val="003F4293"/>
    <w:rsid w:val="0040320B"/>
    <w:rsid w:val="00406A19"/>
    <w:rsid w:val="0041775C"/>
    <w:rsid w:val="004177B9"/>
    <w:rsid w:val="004574F7"/>
    <w:rsid w:val="004708AE"/>
    <w:rsid w:val="00471A64"/>
    <w:rsid w:val="00485288"/>
    <w:rsid w:val="004A2A7A"/>
    <w:rsid w:val="004A7502"/>
    <w:rsid w:val="004A7654"/>
    <w:rsid w:val="004B7599"/>
    <w:rsid w:val="004D7B18"/>
    <w:rsid w:val="004E7775"/>
    <w:rsid w:val="004F3C64"/>
    <w:rsid w:val="004F6D74"/>
    <w:rsid w:val="0050109A"/>
    <w:rsid w:val="005305D5"/>
    <w:rsid w:val="0053400B"/>
    <w:rsid w:val="0053664D"/>
    <w:rsid w:val="005439AC"/>
    <w:rsid w:val="00557352"/>
    <w:rsid w:val="00557C53"/>
    <w:rsid w:val="00562BAF"/>
    <w:rsid w:val="00565E02"/>
    <w:rsid w:val="00573FE8"/>
    <w:rsid w:val="00596B3A"/>
    <w:rsid w:val="00597E7F"/>
    <w:rsid w:val="005A1DC4"/>
    <w:rsid w:val="005A5CFB"/>
    <w:rsid w:val="005A6FB9"/>
    <w:rsid w:val="005B6F96"/>
    <w:rsid w:val="005C7D5F"/>
    <w:rsid w:val="005E3A1E"/>
    <w:rsid w:val="005E5044"/>
    <w:rsid w:val="005E5151"/>
    <w:rsid w:val="005E55ED"/>
    <w:rsid w:val="005E645A"/>
    <w:rsid w:val="005F158A"/>
    <w:rsid w:val="005F1971"/>
    <w:rsid w:val="0060765D"/>
    <w:rsid w:val="00611200"/>
    <w:rsid w:val="006127C3"/>
    <w:rsid w:val="00617848"/>
    <w:rsid w:val="00625BC5"/>
    <w:rsid w:val="00625E47"/>
    <w:rsid w:val="00634D90"/>
    <w:rsid w:val="00635167"/>
    <w:rsid w:val="00635AE9"/>
    <w:rsid w:val="006413DD"/>
    <w:rsid w:val="00643068"/>
    <w:rsid w:val="006574EC"/>
    <w:rsid w:val="00657B89"/>
    <w:rsid w:val="0066146F"/>
    <w:rsid w:val="006649F7"/>
    <w:rsid w:val="00673D94"/>
    <w:rsid w:val="00676EDB"/>
    <w:rsid w:val="00683199"/>
    <w:rsid w:val="0068368F"/>
    <w:rsid w:val="00683B74"/>
    <w:rsid w:val="00691BA2"/>
    <w:rsid w:val="006A20DF"/>
    <w:rsid w:val="006A3CEE"/>
    <w:rsid w:val="006D6EF2"/>
    <w:rsid w:val="006E1193"/>
    <w:rsid w:val="006E2F03"/>
    <w:rsid w:val="006F0281"/>
    <w:rsid w:val="007004C8"/>
    <w:rsid w:val="00704186"/>
    <w:rsid w:val="00704E09"/>
    <w:rsid w:val="00716487"/>
    <w:rsid w:val="00722F9C"/>
    <w:rsid w:val="007268DB"/>
    <w:rsid w:val="00731EF4"/>
    <w:rsid w:val="00732519"/>
    <w:rsid w:val="00772EA1"/>
    <w:rsid w:val="00775CC8"/>
    <w:rsid w:val="00784ADF"/>
    <w:rsid w:val="00795BBD"/>
    <w:rsid w:val="00796FF6"/>
    <w:rsid w:val="007A1036"/>
    <w:rsid w:val="007A27F0"/>
    <w:rsid w:val="007A47C3"/>
    <w:rsid w:val="007C2501"/>
    <w:rsid w:val="007D20D2"/>
    <w:rsid w:val="007E019F"/>
    <w:rsid w:val="007E5561"/>
    <w:rsid w:val="007F0013"/>
    <w:rsid w:val="0080334B"/>
    <w:rsid w:val="00805039"/>
    <w:rsid w:val="00826936"/>
    <w:rsid w:val="00830BA8"/>
    <w:rsid w:val="00840D9E"/>
    <w:rsid w:val="00844E6C"/>
    <w:rsid w:val="0085547E"/>
    <w:rsid w:val="00855F80"/>
    <w:rsid w:val="00864FFA"/>
    <w:rsid w:val="008667D3"/>
    <w:rsid w:val="00867517"/>
    <w:rsid w:val="008806FC"/>
    <w:rsid w:val="008A1BE9"/>
    <w:rsid w:val="008A3D0D"/>
    <w:rsid w:val="008A742B"/>
    <w:rsid w:val="008B3F29"/>
    <w:rsid w:val="008B7BB0"/>
    <w:rsid w:val="008C17F3"/>
    <w:rsid w:val="008C2279"/>
    <w:rsid w:val="008D1706"/>
    <w:rsid w:val="008D50EF"/>
    <w:rsid w:val="008E376C"/>
    <w:rsid w:val="009217EA"/>
    <w:rsid w:val="009242E4"/>
    <w:rsid w:val="00934F57"/>
    <w:rsid w:val="009448CC"/>
    <w:rsid w:val="009524F2"/>
    <w:rsid w:val="00956DEE"/>
    <w:rsid w:val="00957011"/>
    <w:rsid w:val="00964907"/>
    <w:rsid w:val="00976441"/>
    <w:rsid w:val="00987FB0"/>
    <w:rsid w:val="00990575"/>
    <w:rsid w:val="00991628"/>
    <w:rsid w:val="00992F5C"/>
    <w:rsid w:val="009962BC"/>
    <w:rsid w:val="009B6CB3"/>
    <w:rsid w:val="009D01E1"/>
    <w:rsid w:val="009E6486"/>
    <w:rsid w:val="009F28B4"/>
    <w:rsid w:val="009F705E"/>
    <w:rsid w:val="00A06B40"/>
    <w:rsid w:val="00A12A83"/>
    <w:rsid w:val="00A2500D"/>
    <w:rsid w:val="00A315DC"/>
    <w:rsid w:val="00A34E4F"/>
    <w:rsid w:val="00A41902"/>
    <w:rsid w:val="00A466B2"/>
    <w:rsid w:val="00A67603"/>
    <w:rsid w:val="00A7058B"/>
    <w:rsid w:val="00A7311E"/>
    <w:rsid w:val="00A75F74"/>
    <w:rsid w:val="00AA0A2E"/>
    <w:rsid w:val="00AA3C4C"/>
    <w:rsid w:val="00AB59DD"/>
    <w:rsid w:val="00AC2253"/>
    <w:rsid w:val="00AC66EA"/>
    <w:rsid w:val="00AD1D1F"/>
    <w:rsid w:val="00AE3B48"/>
    <w:rsid w:val="00AE5CB7"/>
    <w:rsid w:val="00AE728F"/>
    <w:rsid w:val="00AF5297"/>
    <w:rsid w:val="00AF5FD8"/>
    <w:rsid w:val="00B10CDC"/>
    <w:rsid w:val="00B23F20"/>
    <w:rsid w:val="00B324D5"/>
    <w:rsid w:val="00B423EA"/>
    <w:rsid w:val="00B437BB"/>
    <w:rsid w:val="00B46E51"/>
    <w:rsid w:val="00B522B0"/>
    <w:rsid w:val="00B67301"/>
    <w:rsid w:val="00B70B47"/>
    <w:rsid w:val="00B72185"/>
    <w:rsid w:val="00B7305F"/>
    <w:rsid w:val="00B77804"/>
    <w:rsid w:val="00B9238A"/>
    <w:rsid w:val="00B92573"/>
    <w:rsid w:val="00BA7427"/>
    <w:rsid w:val="00BB1CAB"/>
    <w:rsid w:val="00BB3AD5"/>
    <w:rsid w:val="00BB7BD8"/>
    <w:rsid w:val="00BD3F16"/>
    <w:rsid w:val="00BE1AFC"/>
    <w:rsid w:val="00C0015B"/>
    <w:rsid w:val="00C07AAE"/>
    <w:rsid w:val="00C14880"/>
    <w:rsid w:val="00C150C9"/>
    <w:rsid w:val="00C264FA"/>
    <w:rsid w:val="00C30661"/>
    <w:rsid w:val="00C5460B"/>
    <w:rsid w:val="00C700BD"/>
    <w:rsid w:val="00C764B1"/>
    <w:rsid w:val="00C8444E"/>
    <w:rsid w:val="00C95C15"/>
    <w:rsid w:val="00CB1CFA"/>
    <w:rsid w:val="00CB24D2"/>
    <w:rsid w:val="00CB25ED"/>
    <w:rsid w:val="00CB3DF7"/>
    <w:rsid w:val="00CB4CD1"/>
    <w:rsid w:val="00CD7519"/>
    <w:rsid w:val="00CE616F"/>
    <w:rsid w:val="00CF105F"/>
    <w:rsid w:val="00CF2137"/>
    <w:rsid w:val="00CF7DFD"/>
    <w:rsid w:val="00D03135"/>
    <w:rsid w:val="00D2799E"/>
    <w:rsid w:val="00D3434F"/>
    <w:rsid w:val="00D410F1"/>
    <w:rsid w:val="00D44230"/>
    <w:rsid w:val="00D4654D"/>
    <w:rsid w:val="00D57025"/>
    <w:rsid w:val="00D57BA1"/>
    <w:rsid w:val="00D57CCC"/>
    <w:rsid w:val="00D64D2A"/>
    <w:rsid w:val="00D6613A"/>
    <w:rsid w:val="00D72D70"/>
    <w:rsid w:val="00D73BF1"/>
    <w:rsid w:val="00D8341E"/>
    <w:rsid w:val="00D90A44"/>
    <w:rsid w:val="00D959CA"/>
    <w:rsid w:val="00DA2A4B"/>
    <w:rsid w:val="00DB0059"/>
    <w:rsid w:val="00DB36E7"/>
    <w:rsid w:val="00DB5FD1"/>
    <w:rsid w:val="00DC229D"/>
    <w:rsid w:val="00DC7825"/>
    <w:rsid w:val="00DE3C3C"/>
    <w:rsid w:val="00DF1CAA"/>
    <w:rsid w:val="00DF72E4"/>
    <w:rsid w:val="00DF7975"/>
    <w:rsid w:val="00E00DE1"/>
    <w:rsid w:val="00E12194"/>
    <w:rsid w:val="00E15679"/>
    <w:rsid w:val="00E30F44"/>
    <w:rsid w:val="00E31DA6"/>
    <w:rsid w:val="00E45A8D"/>
    <w:rsid w:val="00E469F8"/>
    <w:rsid w:val="00E72F20"/>
    <w:rsid w:val="00E83EC9"/>
    <w:rsid w:val="00E84367"/>
    <w:rsid w:val="00E85023"/>
    <w:rsid w:val="00E866A5"/>
    <w:rsid w:val="00E86A95"/>
    <w:rsid w:val="00E878D5"/>
    <w:rsid w:val="00E90CBF"/>
    <w:rsid w:val="00E90F33"/>
    <w:rsid w:val="00EB001E"/>
    <w:rsid w:val="00ED4C74"/>
    <w:rsid w:val="00ED5147"/>
    <w:rsid w:val="00ED7A30"/>
    <w:rsid w:val="00EF2CF0"/>
    <w:rsid w:val="00F01FE9"/>
    <w:rsid w:val="00F1080A"/>
    <w:rsid w:val="00F16666"/>
    <w:rsid w:val="00F259C3"/>
    <w:rsid w:val="00F25F69"/>
    <w:rsid w:val="00F31FCE"/>
    <w:rsid w:val="00F35684"/>
    <w:rsid w:val="00F4025B"/>
    <w:rsid w:val="00F46173"/>
    <w:rsid w:val="00F56397"/>
    <w:rsid w:val="00F60267"/>
    <w:rsid w:val="00F66404"/>
    <w:rsid w:val="00F86A28"/>
    <w:rsid w:val="00F87BEC"/>
    <w:rsid w:val="00FA09CA"/>
    <w:rsid w:val="00FA0A3C"/>
    <w:rsid w:val="00FA203A"/>
    <w:rsid w:val="00FA77CD"/>
    <w:rsid w:val="00FA7971"/>
    <w:rsid w:val="00FA7B31"/>
    <w:rsid w:val="00FB1304"/>
    <w:rsid w:val="00FB47DC"/>
    <w:rsid w:val="00FB6F33"/>
    <w:rsid w:val="00FC04ED"/>
    <w:rsid w:val="00FC173B"/>
    <w:rsid w:val="00FC5882"/>
    <w:rsid w:val="00FE37CC"/>
    <w:rsid w:val="00FF2D28"/>
    <w:rsid w:val="00FF2DCC"/>
    <w:rsid w:val="00FF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A273F-C039-4322-9D95-3B8ADA05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57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lang w:val="sr-Latn-CS"/>
    </w:rPr>
  </w:style>
  <w:style w:type="paragraph" w:styleId="Heading2">
    <w:name w:val="heading 2"/>
    <w:basedOn w:val="Normal"/>
    <w:next w:val="Normal"/>
    <w:link w:val="Heading2Char"/>
    <w:semiHidden/>
    <w:rsid w:val="00B9238A"/>
    <w:pPr>
      <w:spacing w:line="240" w:lineRule="auto"/>
      <w:outlineLvl w:val="1"/>
    </w:pPr>
    <w:rPr>
      <w:rFonts w:eastAsia="SimSu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SingleTxtG">
    <w:name w:val="_ Single Txt_G"/>
    <w:basedOn w:val="Normal"/>
    <w:rsid w:val="00957011"/>
    <w:pPr>
      <w:tabs>
        <w:tab w:val="left" w:pos="1701"/>
        <w:tab w:val="left" w:pos="2268"/>
      </w:tabs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HChG">
    <w:name w:val="_ H _Ch_G"/>
    <w:basedOn w:val="Normal"/>
    <w:next w:val="Normal"/>
    <w:rsid w:val="00957011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FootnoteReference">
    <w:name w:val="footnote reference"/>
    <w:aliases w:val="4_G"/>
    <w:rsid w:val="00957011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957011"/>
    <w:pPr>
      <w:tabs>
        <w:tab w:val="right" w:pos="1021"/>
      </w:tabs>
      <w:suppressAutoHyphens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957011"/>
    <w:rPr>
      <w:rFonts w:ascii="Times New Roman" w:eastAsia="SimSun" w:hAnsi="Times New Roman" w:cs="Times New Roman"/>
      <w:sz w:val="18"/>
      <w:lang w:val="en-GB" w:eastAsia="zh-CN"/>
    </w:rPr>
  </w:style>
  <w:style w:type="paragraph" w:customStyle="1" w:styleId="H1G">
    <w:name w:val="_ H_1_G"/>
    <w:basedOn w:val="Normal"/>
    <w:next w:val="Normal"/>
    <w:rsid w:val="00C14880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B9238A"/>
    <w:rPr>
      <w:rFonts w:ascii="Times New Roman" w:eastAsia="SimSun" w:hAnsi="Times New Roman" w:cs="Times New Roman"/>
      <w:sz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F25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6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binternet.ohchr.org/_layouts/15/treatybodyexternal/Download.aspx?symbolno=INT%2fCRC%2fINF%2f9314&amp;Lang=en" TargetMode="External"/><Relationship Id="rId1" Type="http://schemas.openxmlformats.org/officeDocument/2006/relationships/hyperlink" Target="https://5rightsfoundation.com/uploads/Our%20Rights%20in%20a%20Digital%20Wor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9DC74-7112-49D9-896B-1FABCC5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11110</Words>
  <Characters>63328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Vukota Vlahovic</cp:lastModifiedBy>
  <cp:revision>2</cp:revision>
  <cp:lastPrinted>2021-07-21T08:05:00Z</cp:lastPrinted>
  <dcterms:created xsi:type="dcterms:W3CDTF">2021-11-25T12:10:00Z</dcterms:created>
  <dcterms:modified xsi:type="dcterms:W3CDTF">2021-11-25T12:10:00Z</dcterms:modified>
</cp:coreProperties>
</file>